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Autospacing="0" w:after="0" w:afterAutospacing="0" w:line="240" w:lineRule="auto"/>
        <w:ind w:left="0" w:right="0" w:firstLine="0"/>
        <w:jc w:val="center"/>
        <w:textAlignment w:val="auto"/>
        <w:rPr>
          <w:rStyle w:val="8"/>
          <w:rFonts w:hint="eastAsia" w:ascii="宋体" w:hAnsi="宋体" w:eastAsia="宋体" w:cs="宋体"/>
          <w:b/>
          <w:bCs w:val="0"/>
          <w:caps w:val="0"/>
          <w:color w:val="333333"/>
          <w:spacing w:val="0"/>
          <w:sz w:val="44"/>
          <w:szCs w:val="44"/>
        </w:rPr>
      </w:pPr>
      <w:r>
        <w:rPr>
          <w:rStyle w:val="8"/>
          <w:rFonts w:hint="eastAsia" w:ascii="宋体" w:hAnsi="宋体" w:cs="宋体"/>
          <w:b/>
          <w:bCs w:val="0"/>
          <w:caps w:val="0"/>
          <w:color w:val="333333"/>
          <w:spacing w:val="0"/>
          <w:sz w:val="44"/>
          <w:szCs w:val="44"/>
          <w:lang w:eastAsia="zh-CN"/>
        </w:rPr>
        <w:t>葫芦岛</w:t>
      </w:r>
      <w:r>
        <w:rPr>
          <w:rStyle w:val="8"/>
          <w:rFonts w:hint="eastAsia" w:ascii="宋体" w:hAnsi="宋体" w:eastAsia="宋体" w:cs="宋体"/>
          <w:b/>
          <w:bCs w:val="0"/>
          <w:caps w:val="0"/>
          <w:color w:val="333333"/>
          <w:spacing w:val="0"/>
          <w:sz w:val="44"/>
          <w:szCs w:val="44"/>
          <w:lang w:eastAsia="zh-CN"/>
        </w:rPr>
        <w:t>市发展和改革委员会</w:t>
      </w:r>
      <w:r>
        <w:rPr>
          <w:rStyle w:val="8"/>
          <w:rFonts w:hint="eastAsia" w:ascii="宋体" w:hAnsi="宋体" w:cs="宋体"/>
          <w:b/>
          <w:bCs w:val="0"/>
          <w:caps w:val="0"/>
          <w:color w:val="333333"/>
          <w:spacing w:val="0"/>
          <w:sz w:val="44"/>
          <w:szCs w:val="44"/>
          <w:lang w:eastAsia="zh-CN"/>
        </w:rPr>
        <w:t>规范</w:t>
      </w:r>
      <w:r>
        <w:rPr>
          <w:rStyle w:val="8"/>
          <w:rFonts w:hint="eastAsia" w:ascii="宋体" w:hAnsi="宋体" w:eastAsia="宋体" w:cs="宋体"/>
          <w:b/>
          <w:bCs w:val="0"/>
          <w:caps w:val="0"/>
          <w:color w:val="333333"/>
          <w:spacing w:val="0"/>
          <w:sz w:val="44"/>
          <w:szCs w:val="44"/>
        </w:rPr>
        <w:t>行政处罚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Autospacing="0" w:after="0" w:afterAutospacing="0" w:line="240" w:lineRule="auto"/>
        <w:ind w:left="0" w:right="0" w:firstLine="0"/>
        <w:jc w:val="center"/>
        <w:textAlignment w:val="auto"/>
        <w:rPr>
          <w:rStyle w:val="8"/>
          <w:rFonts w:hint="eastAsia" w:ascii="宋体" w:hAnsi="宋体" w:eastAsia="宋体" w:cs="宋体"/>
          <w:b/>
          <w:bCs w:val="0"/>
          <w:caps w:val="0"/>
          <w:color w:val="333333"/>
          <w:spacing w:val="0"/>
          <w:sz w:val="44"/>
          <w:szCs w:val="44"/>
        </w:rPr>
      </w:pPr>
      <w:r>
        <w:rPr>
          <w:rStyle w:val="8"/>
          <w:rFonts w:hint="eastAsia" w:ascii="宋体" w:hAnsi="宋体" w:eastAsia="宋体" w:cs="宋体"/>
          <w:b/>
          <w:bCs w:val="0"/>
          <w:caps w:val="0"/>
          <w:color w:val="333333"/>
          <w:spacing w:val="0"/>
          <w:sz w:val="44"/>
          <w:szCs w:val="44"/>
        </w:rPr>
        <w:t>自由裁量权适用规则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57" w:beforeAutospacing="0" w:after="0" w:afterAutospacing="0" w:line="360" w:lineRule="auto"/>
        <w:ind w:left="0" w:right="0" w:firstLine="0"/>
        <w:jc w:val="center"/>
        <w:textAlignment w:val="auto"/>
        <w:rPr>
          <w:rStyle w:val="8"/>
          <w:rFonts w:hint="default" w:ascii="宋体" w:hAnsi="宋体" w:eastAsia="宋体" w:cs="宋体"/>
          <w:b/>
          <w:bCs w:val="0"/>
          <w:caps w:val="0"/>
          <w:color w:val="333333"/>
          <w:spacing w:val="0"/>
          <w:sz w:val="32"/>
          <w:szCs w:val="32"/>
          <w:lang w:val="en-US" w:eastAsia="zh-CN"/>
        </w:rPr>
      </w:pPr>
      <w:r>
        <w:rPr>
          <w:rStyle w:val="8"/>
          <w:rFonts w:hint="eastAsia" w:ascii="宋体" w:hAnsi="宋体" w:cs="宋体"/>
          <w:b/>
          <w:bCs w:val="0"/>
          <w:caps w:val="0"/>
          <w:color w:val="333333"/>
          <w:spacing w:val="0"/>
          <w:sz w:val="32"/>
          <w:szCs w:val="32"/>
          <w:lang w:val="en-US" w:eastAsia="zh-CN"/>
        </w:rPr>
        <w:t>(征求意见稿)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2" w:firstLineChars="20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第一条  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为规范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发展改革领域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行政处罚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行为，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保障执法人员正确行使行政处罚裁量权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，维护公民、法人和其他组织的合法权益，根据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《中华人民共和国行政处罚法》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《企业投资项目核准和备案管理条例》《中华人民共和国石油天然气管道保护法》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《中华人民共和国煤炭法》《辽宁省社会信用条例》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《辽宁省发展和改革委员会行政处罚裁量权基准》等法律、法规、规章及有关规定，结合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我市发展改革领域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行政执法实际，制定本规则。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第二条  </w:t>
      </w:r>
      <w:r>
        <w:rPr>
          <w:rStyle w:val="8"/>
          <w:rFonts w:hint="eastAsia" w:ascii="仿宋_GB2312" w:hAnsi="仿宋_GB2312" w:eastAsia="仿宋_GB2312" w:cs="仿宋_GB2312"/>
          <w:b w:val="0"/>
          <w:bCs/>
          <w:caps w:val="0"/>
          <w:color w:val="333333"/>
          <w:spacing w:val="0"/>
          <w:sz w:val="32"/>
          <w:szCs w:val="32"/>
          <w:lang w:eastAsia="zh-CN"/>
        </w:rPr>
        <w:t>葫芦岛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市发展和改革委员会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依法实施的行政处罚以及在法定权限范围内委托实施的行政处罚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（不包含粮食领域行政处罚）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，适用本规则。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第三条  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本规则所称行政处罚自由裁量权，是指行政处罚实施机关在法律、法规和规章规定的行政处罚权限范围内，综合考虑违法行为的事实、情节、社会危害程度以及当事人主观过错等因素，对公民、法人或者其他组织违反行政管理秩序的行为决定是否给予行政处罚，</w:t>
      </w:r>
      <w:r>
        <w:rPr>
          <w:rFonts w:hint="eastAsia" w:ascii="仿宋_GB2312" w:hAnsi="仿宋_GB2312" w:eastAsia="仿宋_GB2312" w:cs="仿宋_GB2312"/>
          <w:sz w:val="32"/>
          <w:szCs w:val="32"/>
        </w:rPr>
        <w:t>确定给予行政处罚的种类和裁定处罚幅度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的权限。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第四条  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行政处罚自由裁量权的行使应当遵循以下原则：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（一）合法原则。符合法律、法规、规章规定的裁量条件、处罚种类和幅度，依照法定权限，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遵守法定程序。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二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）公开公平公正原则。行使行政处罚自由裁量权，应当向社会公开裁量标准，向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告知裁量所基于的事实、理由、依据等内容。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三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）过罚相当原则。以事实为依据，处罚的种类和幅度与违法行为的事实、性质、情节、危害程度等相当。对事实、性质、情节、危害后果和社会影响等基本相同的违法行为，适用的处罚种类和幅度应当基本相当。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（四）处罚与教育相结合原则。兼顾纠正违法行为和教育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，</w:t>
      </w:r>
      <w:r>
        <w:rPr>
          <w:rFonts w:hint="eastAsia" w:ascii="仿宋_GB2312" w:hAnsi="仿宋_GB2312" w:eastAsia="仿宋_GB2312"/>
          <w:sz w:val="32"/>
          <w:szCs w:val="32"/>
        </w:rPr>
        <w:t>所采取的措施和手段应当必要、适当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引导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当事人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自觉守法。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（五）综合裁量原则。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要主客观相结合，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综合考虑</w:t>
      </w:r>
      <w:r>
        <w:rPr>
          <w:rFonts w:hint="eastAsia" w:ascii="仿宋_GB2312" w:hAnsi="仿宋_GB2312" w:eastAsia="仿宋_GB2312"/>
          <w:sz w:val="32"/>
          <w:szCs w:val="32"/>
        </w:rPr>
        <w:t>违法行为的手段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社会危害程度、当事人</w:t>
      </w:r>
      <w:r>
        <w:rPr>
          <w:rFonts w:hint="eastAsia" w:ascii="仿宋_GB2312" w:hAnsi="仿宋_GB2312" w:eastAsia="仿宋_GB2312"/>
          <w:sz w:val="32"/>
          <w:szCs w:val="32"/>
        </w:rPr>
        <w:t>改正违法行为的态度、所采取的改正措施及效果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等相关因素，实现法律效果、社会效果的统一。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　　</w:t>
      </w:r>
      <w:r>
        <w:rPr>
          <w:rFonts w:hint="default" w:ascii="仿宋_GB2312" w:hAnsi="仿宋_GB2312" w:eastAsia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五</w:t>
      </w:r>
      <w:r>
        <w:rPr>
          <w:rFonts w:hint="default" w:ascii="仿宋_GB2312" w:hAnsi="仿宋_GB2312" w:eastAsia="仿宋_GB2312"/>
          <w:b/>
          <w:bCs/>
          <w:sz w:val="32"/>
          <w:szCs w:val="32"/>
        </w:rPr>
        <w:t>条</w:t>
      </w:r>
      <w:r>
        <w:rPr>
          <w:rFonts w:hint="default" w:ascii="仿宋_GB2312" w:hAnsi="仿宋_GB2312" w:eastAsia="仿宋_GB2312"/>
          <w:sz w:val="32"/>
          <w:szCs w:val="32"/>
        </w:rPr>
        <w:t>  当事人有下列情形之一的，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应当依法</w:t>
      </w:r>
      <w:r>
        <w:rPr>
          <w:rFonts w:hint="default" w:ascii="仿宋_GB2312" w:hAnsi="仿宋_GB2312" w:eastAsia="仿宋_GB2312"/>
          <w:sz w:val="32"/>
          <w:szCs w:val="32"/>
        </w:rPr>
        <w:t>不予行政处罚：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　　（一）不满14周岁的未成年人有违法行为的；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（二）精神病人、智力残疾人在不能辨认或者不能控制自己行为时有违法行为的；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/>
          <w:sz w:val="32"/>
          <w:szCs w:val="32"/>
        </w:rPr>
        <w:t>（三）违法行为轻微并及时纠正，没有造成危害后果的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eastAsia" w:ascii="仿宋_GB2312" w:hAnsi="仿宋_GB2312" w:eastAsia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（四）</w:t>
      </w:r>
      <w:r>
        <w:rPr>
          <w:rFonts w:hint="default" w:ascii="仿宋_GB2312" w:hAnsi="仿宋_GB2312" w:eastAsia="仿宋_GB2312"/>
          <w:sz w:val="32"/>
          <w:szCs w:val="32"/>
        </w:rPr>
        <w:t>初次违法且危害后果轻微并及时改正的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</w:t>
      </w:r>
      <w:r>
        <w:rPr>
          <w:rFonts w:hint="eastAsia" w:ascii="仿宋_GB2312" w:hAnsi="仿宋_GB2312" w:eastAsia="仿宋_GB2312"/>
          <w:sz w:val="32"/>
          <w:szCs w:val="32"/>
          <w:lang w:eastAsia="zh-CN"/>
        </w:rPr>
        <w:t>五</w:t>
      </w:r>
      <w:r>
        <w:rPr>
          <w:rFonts w:hint="default" w:ascii="仿宋_GB2312" w:hAnsi="仿宋_GB2312" w:eastAsia="仿宋_GB2312"/>
          <w:sz w:val="32"/>
          <w:szCs w:val="32"/>
        </w:rPr>
        <w:t>）法律、法规、规章规定不予处罚的其他情形。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b/>
          <w:bCs/>
          <w:sz w:val="32"/>
          <w:szCs w:val="32"/>
        </w:rPr>
        <w:t>第</w:t>
      </w:r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六</w:t>
      </w:r>
      <w:r>
        <w:rPr>
          <w:rFonts w:hint="default" w:ascii="仿宋_GB2312" w:hAnsi="仿宋_GB2312" w:eastAsia="仿宋_GB2312"/>
          <w:b/>
          <w:bCs/>
          <w:sz w:val="32"/>
          <w:szCs w:val="32"/>
        </w:rPr>
        <w:t>条</w:t>
      </w:r>
      <w:r>
        <w:rPr>
          <w:rFonts w:hint="default" w:ascii="仿宋_GB2312" w:hAnsi="仿宋_GB2312" w:eastAsia="仿宋_GB2312"/>
          <w:sz w:val="32"/>
          <w:szCs w:val="32"/>
        </w:rPr>
        <w:t> 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 w:cs="Times New Roman"/>
          <w:kern w:val="0"/>
          <w:sz w:val="32"/>
          <w:szCs w:val="32"/>
          <w:lang w:val="en-US" w:eastAsia="zh-CN" w:bidi="ar"/>
        </w:rPr>
        <w:t>对当事人的违法行为依法不予行政处罚的，行政机关应当对当事人进行教育。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right="0" w:firstLine="640" w:firstLineChars="20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 </w:t>
      </w:r>
      <w:r>
        <w:rPr>
          <w:rFonts w:hint="eastAsia" w:ascii="仿宋_GB2312" w:hAnsi="仿宋_GB2312" w:eastAsia="仿宋_GB2312"/>
          <w:b/>
          <w:bCs/>
          <w:sz w:val="32"/>
          <w:szCs w:val="32"/>
          <w:lang w:eastAsia="zh-CN"/>
        </w:rPr>
        <w:t>第七条</w:t>
      </w:r>
      <w:r>
        <w:rPr>
          <w:rFonts w:hint="eastAsia" w:ascii="仿宋_GB2312" w:hAns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default" w:ascii="仿宋_GB2312" w:hAnsi="仿宋_GB2312" w:eastAsia="仿宋_GB2312"/>
          <w:sz w:val="32"/>
          <w:szCs w:val="32"/>
        </w:rPr>
        <w:t>当事人有下列情形之一的，应当依法从轻或减轻行政处罚：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eastAsia" w:ascii="仿宋_GB2312" w:hAnsi="仿宋_GB2312" w:eastAsia="仿宋_GB2312"/>
          <w:sz w:val="32"/>
          <w:szCs w:val="32"/>
          <w:lang w:eastAsia="zh-CN"/>
        </w:rPr>
        <w:t>（一）</w:t>
      </w:r>
      <w:r>
        <w:rPr>
          <w:rFonts w:hint="default" w:ascii="仿宋_GB2312" w:hAnsi="仿宋_GB2312" w:eastAsia="仿宋_GB2312"/>
          <w:sz w:val="32"/>
          <w:szCs w:val="32"/>
        </w:rPr>
        <w:t>已满14周岁不满18周岁的未成年人有违法行为的；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主动消除或减轻违法行为危害后果的；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640" w:leftChars="0" w:right="0" w:rightChars="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（三）受他人胁迫或者诱骗实施违法行为的；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（四）主动供述行政机关尚未掌握的违法行为的；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（五）配合行政机关查处违法行为有立功表现的；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640"/>
        <w:jc w:val="left"/>
        <w:textAlignment w:val="auto"/>
        <w:rPr>
          <w:rFonts w:hint="default" w:ascii="仿宋_GB2312" w:hAnsi="仿宋_GB2312" w:eastAsia="仿宋_GB2312"/>
          <w:sz w:val="32"/>
          <w:szCs w:val="32"/>
        </w:rPr>
      </w:pPr>
      <w:r>
        <w:rPr>
          <w:rFonts w:hint="default" w:ascii="仿宋_GB2312" w:hAnsi="仿宋_GB2312" w:eastAsia="仿宋_GB2312"/>
          <w:sz w:val="32"/>
          <w:szCs w:val="32"/>
        </w:rPr>
        <w:t>（六）法律、法规、规章规定应当从轻或减轻行政处罚的其他情形。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第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  <w:lang w:eastAsia="zh-CN"/>
        </w:rPr>
        <w:t>八</w:t>
      </w:r>
      <w:r>
        <w:rPr>
          <w:rStyle w:val="8"/>
          <w:rFonts w:hint="eastAsia" w:ascii="仿宋_GB2312" w:hAnsi="仿宋_GB2312" w:eastAsia="仿宋_GB2312" w:cs="仿宋_GB2312"/>
          <w:b/>
          <w:caps w:val="0"/>
          <w:color w:val="333333"/>
          <w:spacing w:val="0"/>
          <w:sz w:val="32"/>
          <w:szCs w:val="32"/>
        </w:rPr>
        <w:t>条  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当事人有下列情形之一的，应当依法从重处罚：</w:t>
      </w:r>
    </w:p>
    <w:p>
      <w:pPr>
        <w:pStyle w:val="5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500" w:leftChars="0" w:right="0" w:firstLine="0" w:firstLineChars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严重危害公共安全、人身健康和生命财产安全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、</w:t>
      </w:r>
    </w:p>
    <w:p>
      <w:pPr>
        <w:pStyle w:val="5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right="0" w:rightChars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生态环境的；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（二）拒绝、阻碍或者以暴力威胁执法人员依法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查处违法行为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（三）采取拒绝提交、隐匿、伪造、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涂改、转移、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销毁证据等方式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阻碍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执法机关查处；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（四）被告诫或者责令停止、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改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正违法行为后，继续实施违法行为的；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（五）在共同实施违法行为中起主要作用或教唆、胁迫、诱骗他人实施违法行为的；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　　（六）违法行为引起群体性事件，造成严重社会影响的；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64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）多次实施违法行为的；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640"/>
        <w:jc w:val="left"/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aps w:val="0"/>
          <w:color w:val="333333"/>
          <w:spacing w:val="0"/>
          <w:sz w:val="32"/>
          <w:szCs w:val="32"/>
        </w:rPr>
        <w:t>）其他依法从重处罚的情形。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640"/>
        <w:jc w:val="left"/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</w:pP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第九条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　当事人不具有不予处罚、从轻或减轻处罚及从重处罚情形的，应当予以一般处罚。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　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5"/>
          <w:szCs w:val="25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第十条 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 符合本规则第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七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条、第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八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、第九条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规定以及相关法律、法规和规章规定应当依法予以从轻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处罚、一般处罚及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从重处罚的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违法行为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，应当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遵照《葫芦岛市发展和改革委员会行政处罚裁量基准》，确定处罚种类和幅度。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 符合本规则第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七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条规定以及相关法律、法规和规章规定应当依法予以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减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轻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处罚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违法行为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应当确定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val="en-US" w:eastAsia="zh-CN"/>
        </w:rPr>
        <w:t>法定最低限度以下的处罚种类和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幅度。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left"/>
        <w:textAlignment w:val="auto"/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　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当事人同时具有从重、从轻或者减轻处罚情形的，应当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按照本规则第四条原则，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综合考虑主要情节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确定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val="en-US" w:eastAsia="zh-CN"/>
        </w:rPr>
        <w:t>处罚种类和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幅度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　</w:t>
      </w: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5"/>
          <w:szCs w:val="25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一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条 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 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按照《葫芦岛市发展和改革委员会重大行政执法决定法制审核办法》规定，除依法适用简易程序实施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val="en-US" w:eastAsia="zh-CN"/>
        </w:rPr>
        <w:t>的行政处罚外，应当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sz w:val="32"/>
          <w:szCs w:val="32"/>
          <w:lang w:eastAsia="zh-CN"/>
        </w:rPr>
        <w:t>严格履行重大行政执法决定法制审核程序。未履行法制审核程序的，不得作出行政处罚决定。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/>
          <w:lang w:eastAsia="zh-CN"/>
        </w:rPr>
        <w:t>　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二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eastAsia="zh-CN"/>
        </w:rPr>
        <w:t>条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行使行政处罚自由裁量权，应当对可能影响自由裁量结果的案情作充分调查，听取和核实当事人有关陈述和申辩意见。当事人提出的事实、理由和证据成立的，应当采纳，不得因当事人申辩而加重处罚。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选择减轻处罚、从轻处罚和从重行政处罚的，应当持有能证明当事人具有相应情节的证据，并依法履行相应的处罚程序。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三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条 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 行政执法监督部门通过行政执法投诉、行政执法监督检查、行政复议、行政处罚案卷评查等形式，对行使行政处罚自由裁量权的情况进行监督检查。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四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  各地区发展改革部门规范行政处罚自由裁量权行为，根据本地区的实际情况，参照执行。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五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条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我市发展改革部门依法行使的粮食领域行政处罚自由裁量基准，执行《辽宁省粮食行政处罚自由裁量权指导标准（试行）》（辽粮发〔2022〕32号）。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2" w:firstLineChars="200"/>
        <w:textAlignment w:val="auto"/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第十</w:t>
      </w:r>
      <w:r>
        <w:rPr>
          <w:rFonts w:hint="eastAsia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六</w:t>
      </w:r>
      <w:r>
        <w:rPr>
          <w:rFonts w:hint="default" w:ascii="仿宋_GB2312" w:hAnsi="仿宋_GB2312" w:eastAsia="仿宋_GB2312" w:cs="仿宋_GB2312"/>
          <w:b/>
          <w:bCs/>
          <w:i w:val="0"/>
          <w:caps w:val="0"/>
          <w:color w:val="404040"/>
          <w:spacing w:val="0"/>
          <w:sz w:val="32"/>
          <w:szCs w:val="32"/>
          <w:lang w:val="en-US" w:eastAsia="zh-CN"/>
        </w:rPr>
        <w:t>条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  本规则自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fill="FFFFFF"/>
        </w:rPr>
        <w:t>公布之日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起施行，有效期5年。法律、法规、规章或者国家</w:t>
      </w:r>
      <w:r>
        <w:rPr>
          <w:rFonts w:hint="eastAsia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、省</w:t>
      </w:r>
      <w:r>
        <w:rPr>
          <w:rFonts w:hint="default" w:ascii="仿宋_GB2312" w:hAnsi="仿宋_GB2312" w:eastAsia="仿宋_GB2312" w:cs="仿宋_GB2312"/>
          <w:i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发展改革委有不同规定的，从其规定。有关法律政策依据变化或有效期届满，根据实施情况依法评估修订。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7" w:beforeAutospacing="0" w:after="0" w:afterAutospacing="0" w:line="563" w:lineRule="atLeast"/>
        <w:ind w:left="0" w:right="0" w:firstLine="0"/>
        <w:jc w:val="left"/>
      </w:pPr>
      <w:r>
        <w:rPr>
          <w:rFonts w:hint="default" w:ascii="微软雅黑" w:hAnsi="微软雅黑" w:eastAsia="微软雅黑" w:cs="微软雅黑"/>
          <w:caps w:val="0"/>
          <w:color w:val="333333"/>
          <w:spacing w:val="0"/>
          <w:sz w:val="25"/>
          <w:szCs w:val="25"/>
        </w:rPr>
        <w:t>　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DFF85A9"/>
    <w:multiLevelType w:val="singleLevel"/>
    <w:tmpl w:val="FDFF85A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FFE6AA81"/>
    <w:multiLevelType w:val="singleLevel"/>
    <w:tmpl w:val="FFE6AA81"/>
    <w:lvl w:ilvl="0" w:tentative="0">
      <w:start w:val="1"/>
      <w:numFmt w:val="chineseCounting"/>
      <w:suff w:val="nothing"/>
      <w:lvlText w:val="（%1）"/>
      <w:lvlJc w:val="left"/>
      <w:pPr>
        <w:ind w:left="50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5C353B"/>
    <w:rsid w:val="1AE51238"/>
    <w:rsid w:val="3E101920"/>
    <w:rsid w:val="3EAB0813"/>
    <w:rsid w:val="3EDBF85D"/>
    <w:rsid w:val="3F6FC66C"/>
    <w:rsid w:val="3FFF1D7E"/>
    <w:rsid w:val="55FB384B"/>
    <w:rsid w:val="5F354CF4"/>
    <w:rsid w:val="5F7FB213"/>
    <w:rsid w:val="5FFD922A"/>
    <w:rsid w:val="67CDF6C0"/>
    <w:rsid w:val="6DFFA88B"/>
    <w:rsid w:val="7BEEDB82"/>
    <w:rsid w:val="7DD66A63"/>
    <w:rsid w:val="7DFF323B"/>
    <w:rsid w:val="7EFFD33C"/>
    <w:rsid w:val="7FDCA26A"/>
    <w:rsid w:val="7FE71679"/>
    <w:rsid w:val="7FFF8206"/>
    <w:rsid w:val="9D539C63"/>
    <w:rsid w:val="A3BFA1B4"/>
    <w:rsid w:val="BFBAC759"/>
    <w:rsid w:val="D1FF7828"/>
    <w:rsid w:val="D4DBF9B9"/>
    <w:rsid w:val="D7777380"/>
    <w:rsid w:val="DBFFE765"/>
    <w:rsid w:val="DCFE6B76"/>
    <w:rsid w:val="DFCF5F78"/>
    <w:rsid w:val="DFD2DB35"/>
    <w:rsid w:val="E96A6EC0"/>
    <w:rsid w:val="F6B73421"/>
    <w:rsid w:val="F6FFAC23"/>
    <w:rsid w:val="F968E0BF"/>
    <w:rsid w:val="FB77116C"/>
    <w:rsid w:val="FF7FA19C"/>
    <w:rsid w:val="FFFC91DA"/>
    <w:rsid w:val="FFFEDA3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Administrator</dc:creator>
  <cp:lastModifiedBy>ht706</cp:lastModifiedBy>
  <dcterms:modified xsi:type="dcterms:W3CDTF">2023-10-30T10:10:29Z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