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72414B">
      <w:pPr>
        <w:pageBreakBefore w:val="0"/>
        <w:kinsoku/>
        <w:wordWrap/>
        <w:overflowPunct/>
        <w:topLinePunct w:val="0"/>
        <w:autoSpaceDE/>
        <w:autoSpaceDN/>
        <w:bidi w:val="0"/>
        <w:adjustRightInd/>
        <w:snapToGrid/>
        <w:spacing w:line="620" w:lineRule="exact"/>
        <w:jc w:val="left"/>
        <w:textAlignment w:val="auto"/>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bCs/>
          <w:sz w:val="32"/>
          <w:szCs w:val="32"/>
          <w:highlight w:val="none"/>
          <w:lang w:eastAsia="zh-CN"/>
        </w:rPr>
        <w:t>附件：</w:t>
      </w:r>
    </w:p>
    <w:p w14:paraId="79F21E99">
      <w:pPr>
        <w:pageBreakBefore w:val="0"/>
        <w:kinsoku/>
        <w:wordWrap/>
        <w:overflowPunct/>
        <w:topLinePunct w:val="0"/>
        <w:autoSpaceDE/>
        <w:autoSpaceDN/>
        <w:bidi w:val="0"/>
        <w:adjustRightInd/>
        <w:snapToGrid/>
        <w:spacing w:line="620" w:lineRule="exact"/>
        <w:jc w:val="left"/>
        <w:textAlignment w:val="auto"/>
        <w:rPr>
          <w:rFonts w:hint="eastAsia" w:ascii="仿宋_GB2312" w:hAnsi="仿宋_GB2312" w:eastAsia="仿宋_GB2312" w:cs="仿宋_GB2312"/>
          <w:bCs/>
          <w:sz w:val="32"/>
          <w:szCs w:val="32"/>
          <w:highlight w:val="none"/>
          <w:lang w:eastAsia="zh-CN"/>
        </w:rPr>
      </w:pPr>
    </w:p>
    <w:p w14:paraId="2E880EEB">
      <w:pPr>
        <w:pageBreakBefore w:val="0"/>
        <w:kinsoku/>
        <w:wordWrap/>
        <w:overflowPunct/>
        <w:topLinePunct w:val="0"/>
        <w:autoSpaceDE/>
        <w:autoSpaceDN/>
        <w:bidi w:val="0"/>
        <w:adjustRightInd/>
        <w:snapToGrid/>
        <w:spacing w:line="620" w:lineRule="exact"/>
        <w:jc w:val="center"/>
        <w:textAlignment w:val="auto"/>
        <w:rPr>
          <w:rFonts w:hint="eastAsia" w:ascii="仿宋_GB2312" w:hAnsi="仿宋_GB2312" w:eastAsia="方正小标宋简体" w:cs="仿宋_GB2312"/>
          <w:bCs/>
          <w:sz w:val="32"/>
          <w:szCs w:val="32"/>
          <w:highlight w:val="none"/>
          <w:lang w:eastAsia="zh-CN"/>
        </w:rPr>
      </w:pPr>
      <w:r>
        <w:rPr>
          <w:rFonts w:hint="eastAsia" w:ascii="方正小标宋简体" w:hAnsi="方正小标宋简体" w:eastAsia="方正小标宋简体" w:cs="方正小标宋简体"/>
          <w:bCs/>
          <w:sz w:val="44"/>
          <w:szCs w:val="44"/>
          <w:highlight w:val="none"/>
        </w:rPr>
        <w:t>葫芦岛市固定资产投资项目节能审查实施办法</w:t>
      </w:r>
      <w:r>
        <w:rPr>
          <w:rFonts w:hint="eastAsia" w:ascii="方正小标宋简体" w:hAnsi="方正小标宋简体" w:eastAsia="方正小标宋简体" w:cs="方正小标宋简体"/>
          <w:bCs/>
          <w:sz w:val="44"/>
          <w:szCs w:val="44"/>
          <w:highlight w:val="none"/>
          <w:lang w:eastAsia="zh-CN"/>
        </w:rPr>
        <w:t>（征求意见稿）</w:t>
      </w:r>
    </w:p>
    <w:p w14:paraId="23D9CD9C">
      <w:pPr>
        <w:pageBreakBefore w:val="0"/>
        <w:kinsoku/>
        <w:wordWrap/>
        <w:overflowPunct/>
        <w:topLinePunct w:val="0"/>
        <w:autoSpaceDE/>
        <w:autoSpaceDN/>
        <w:bidi w:val="0"/>
        <w:adjustRightInd/>
        <w:snapToGrid/>
        <w:spacing w:line="620" w:lineRule="exact"/>
        <w:jc w:val="center"/>
        <w:textAlignment w:val="auto"/>
        <w:rPr>
          <w:rFonts w:hint="eastAsia" w:ascii="仿宋_GB2312" w:hAnsi="仿宋_GB2312" w:eastAsia="仿宋_GB2312" w:cs="仿宋_GB2312"/>
          <w:bCs/>
          <w:sz w:val="32"/>
          <w:szCs w:val="32"/>
          <w:highlight w:val="yellow"/>
        </w:rPr>
      </w:pPr>
    </w:p>
    <w:p w14:paraId="482AFBBB">
      <w:pPr>
        <w:pageBreakBefore w:val="0"/>
        <w:kinsoku/>
        <w:wordWrap/>
        <w:overflowPunct/>
        <w:topLinePunct w:val="0"/>
        <w:autoSpaceDE/>
        <w:autoSpaceDN/>
        <w:bidi w:val="0"/>
        <w:adjustRightInd/>
        <w:snapToGrid/>
        <w:spacing w:line="620" w:lineRule="exact"/>
        <w:jc w:val="center"/>
        <w:textAlignment w:val="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第一章  总则</w:t>
      </w:r>
    </w:p>
    <w:p w14:paraId="4D09FBD7">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eastAsia="zh-CN"/>
        </w:rPr>
        <w:t>第一条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为</w:t>
      </w:r>
      <w:r>
        <w:rPr>
          <w:rFonts w:hint="eastAsia" w:ascii="仿宋_GB2312" w:hAnsi="仿宋_GB2312" w:eastAsia="仿宋_GB2312" w:cs="仿宋_GB2312"/>
          <w:sz w:val="32"/>
          <w:szCs w:val="32"/>
          <w:highlight w:val="none"/>
          <w:lang w:eastAsia="zh-CN"/>
        </w:rPr>
        <w:t>完善能源消费总量和强度控制，</w:t>
      </w:r>
      <w:r>
        <w:rPr>
          <w:rFonts w:hint="eastAsia" w:ascii="仿宋_GB2312" w:hAnsi="仿宋_GB2312" w:eastAsia="仿宋_GB2312" w:cs="仿宋_GB2312"/>
          <w:sz w:val="32"/>
          <w:szCs w:val="32"/>
          <w:highlight w:val="none"/>
        </w:rPr>
        <w:t>促进固定资产投资项目科学合理利用能源，</w:t>
      </w:r>
      <w:r>
        <w:rPr>
          <w:rFonts w:hint="eastAsia" w:ascii="仿宋_GB2312" w:hAnsi="仿宋_GB2312" w:eastAsia="仿宋_GB2312" w:cs="仿宋_GB2312"/>
          <w:sz w:val="32"/>
          <w:szCs w:val="32"/>
          <w:highlight w:val="none"/>
          <w:lang w:eastAsia="zh-CN"/>
        </w:rPr>
        <w:t>加强用能管理，推进能源节约，防止能源浪费，</w:t>
      </w:r>
      <w:r>
        <w:rPr>
          <w:rFonts w:hint="eastAsia" w:ascii="仿宋_GB2312" w:hAnsi="仿宋_GB2312" w:eastAsia="仿宋_GB2312" w:cs="仿宋_GB2312"/>
          <w:sz w:val="32"/>
          <w:szCs w:val="32"/>
          <w:highlight w:val="none"/>
        </w:rPr>
        <w:t>提高能源利用效率</w:t>
      </w:r>
      <w:r>
        <w:rPr>
          <w:rFonts w:hint="eastAsia" w:ascii="仿宋_GB2312" w:hAnsi="仿宋_GB2312" w:eastAsia="仿宋_GB2312" w:cs="仿宋_GB2312"/>
          <w:sz w:val="32"/>
          <w:szCs w:val="32"/>
          <w:highlight w:val="none"/>
          <w:lang w:eastAsia="zh-CN"/>
        </w:rPr>
        <w:t>，助力实现全市碳达峰碳中和目标任务，</w:t>
      </w:r>
      <w:r>
        <w:rPr>
          <w:rFonts w:hint="eastAsia" w:ascii="仿宋_GB2312" w:hAnsi="仿宋_GB2312" w:eastAsia="仿宋_GB2312" w:cs="仿宋_GB2312"/>
          <w:sz w:val="32"/>
          <w:szCs w:val="32"/>
          <w:highlight w:val="none"/>
        </w:rPr>
        <w:t>根据《中华人民共和国节约能源法》《中华人民共和国行政许可法》</w:t>
      </w:r>
      <w:r>
        <w:rPr>
          <w:rFonts w:hint="eastAsia" w:ascii="仿宋_GB2312" w:hAnsi="仿宋_GB2312" w:eastAsia="仿宋_GB2312" w:cs="仿宋_GB2312"/>
          <w:sz w:val="32"/>
          <w:szCs w:val="32"/>
          <w:highlight w:val="none"/>
          <w:lang w:eastAsia="zh-CN"/>
        </w:rPr>
        <w:t>《民用建筑节能条例》</w:t>
      </w:r>
      <w:r>
        <w:rPr>
          <w:rFonts w:hint="eastAsia" w:ascii="仿宋_GB2312" w:hAnsi="仿宋_GB2312" w:eastAsia="仿宋_GB2312" w:cs="仿宋_GB2312"/>
          <w:sz w:val="32"/>
          <w:szCs w:val="32"/>
          <w:highlight w:val="none"/>
        </w:rPr>
        <w:t>《公共机构节能条例》《固定资产投资项目节能审查办法》</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国家发展改革委</w:t>
      </w:r>
      <w:r>
        <w:rPr>
          <w:rFonts w:hint="eastAsia" w:ascii="仿宋_GB2312" w:hAnsi="仿宋_GB2312" w:eastAsia="仿宋_GB2312" w:cs="仿宋_GB2312"/>
          <w:sz w:val="32"/>
          <w:szCs w:val="32"/>
          <w:highlight w:val="none"/>
          <w:lang w:eastAsia="zh-CN"/>
        </w:rPr>
        <w:t>令第</w:t>
      </w:r>
      <w:r>
        <w:rPr>
          <w:rFonts w:hint="eastAsia" w:ascii="仿宋_GB2312" w:hAnsi="仿宋_GB2312" w:eastAsia="仿宋_GB2312" w:cs="仿宋_GB2312"/>
          <w:sz w:val="32"/>
          <w:szCs w:val="32"/>
          <w:highlight w:val="none"/>
          <w:lang w:val="en-US" w:eastAsia="zh-CN"/>
        </w:rPr>
        <w:t>2号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《辽宁省</w:t>
      </w:r>
      <w:r>
        <w:rPr>
          <w:rFonts w:hint="eastAsia" w:ascii="仿宋_GB2312" w:hAnsi="仿宋_GB2312" w:eastAsia="仿宋_GB2312" w:cs="仿宋_GB2312"/>
          <w:bCs/>
          <w:sz w:val="32"/>
          <w:szCs w:val="32"/>
          <w:highlight w:val="none"/>
        </w:rPr>
        <w:t>固定资产投资项目节能审查实施办法</w:t>
      </w:r>
      <w:r>
        <w:rPr>
          <w:rFonts w:hint="eastAsia" w:ascii="仿宋_GB2312" w:hAnsi="仿宋_GB2312" w:eastAsia="仿宋_GB2312" w:cs="仿宋_GB2312"/>
          <w:sz w:val="32"/>
          <w:szCs w:val="32"/>
          <w:highlight w:val="none"/>
        </w:rPr>
        <w:t>》，结合我市实际，制定本</w:t>
      </w:r>
      <w:r>
        <w:rPr>
          <w:rFonts w:hint="eastAsia" w:ascii="仿宋_GB2312" w:hAnsi="仿宋_GB2312" w:eastAsia="仿宋_GB2312" w:cs="仿宋_GB2312"/>
          <w:sz w:val="32"/>
          <w:szCs w:val="32"/>
          <w:highlight w:val="none"/>
          <w:lang w:eastAsia="zh-CN"/>
        </w:rPr>
        <w:t>实施</w:t>
      </w:r>
      <w:r>
        <w:rPr>
          <w:rFonts w:hint="eastAsia" w:ascii="仿宋_GB2312" w:hAnsi="仿宋_GB2312" w:eastAsia="仿宋_GB2312" w:cs="仿宋_GB2312"/>
          <w:sz w:val="32"/>
          <w:szCs w:val="32"/>
          <w:highlight w:val="none"/>
        </w:rPr>
        <w:t>办法。</w:t>
      </w:r>
    </w:p>
    <w:p w14:paraId="7A0CF2B0">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eastAsia="zh-CN"/>
        </w:rPr>
        <w:t>第二条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本办法</w:t>
      </w:r>
      <w:r>
        <w:rPr>
          <w:rFonts w:hint="eastAsia" w:ascii="仿宋_GB2312" w:hAnsi="仿宋_GB2312" w:eastAsia="仿宋_GB2312" w:cs="仿宋_GB2312"/>
          <w:sz w:val="32"/>
          <w:szCs w:val="32"/>
          <w:highlight w:val="none"/>
          <w:lang w:val="en-US" w:eastAsia="zh-CN"/>
        </w:rPr>
        <w:t>适用于全市各级人民政府投资主管部门管理的在我市行政区域内建设的固定资产投资项目。</w:t>
      </w:r>
      <w:r>
        <w:rPr>
          <w:rFonts w:hint="eastAsia" w:ascii="仿宋_GB2312" w:hAnsi="仿宋_GB2312" w:eastAsia="仿宋_GB2312" w:cs="仿宋_GB2312"/>
          <w:sz w:val="32"/>
          <w:szCs w:val="32"/>
          <w:highlight w:val="none"/>
        </w:rPr>
        <w:t>本办法所称的节能审查，是指节能审查机关根据节能法律法规、政策标准等，对项目</w:t>
      </w:r>
      <w:r>
        <w:rPr>
          <w:rFonts w:hint="eastAsia" w:ascii="仿宋_GB2312" w:hAnsi="仿宋_GB2312" w:eastAsia="仿宋_GB2312" w:cs="仿宋_GB2312"/>
          <w:sz w:val="32"/>
          <w:szCs w:val="32"/>
          <w:highlight w:val="none"/>
          <w:lang w:eastAsia="zh-CN"/>
        </w:rPr>
        <w:t>能源消费、能效水平及节能措施等</w:t>
      </w:r>
      <w:r>
        <w:rPr>
          <w:rFonts w:hint="eastAsia" w:ascii="仿宋_GB2312" w:hAnsi="仿宋_GB2312" w:eastAsia="仿宋_GB2312" w:cs="仿宋_GB2312"/>
          <w:sz w:val="32"/>
          <w:szCs w:val="32"/>
          <w:highlight w:val="none"/>
        </w:rPr>
        <w:t>情况进行审查并形成审查意见的行为。</w:t>
      </w:r>
    </w:p>
    <w:p w14:paraId="43A1B744">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b/>
          <w:bCs/>
          <w:sz w:val="32"/>
          <w:szCs w:val="32"/>
          <w:highlight w:val="none"/>
          <w:lang w:eastAsia="zh-CN"/>
        </w:rPr>
        <w:t>第三条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固定资产投资项目节能审查意见是项目开工建设、竣工验收和运营管理的重要依据。政府投资项目，建设单位在报送可行性研究报告前，需取得节能审查机关出具的节能审查意见。企业投资项目，建设单位在开工建设前，需取得节能审查机关出具的节能审查意见。</w:t>
      </w:r>
    </w:p>
    <w:p w14:paraId="78395A90">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项目开工建设按照项目建设内容区别定义。土建施工类项目开工建设,是指永久性工程破土开槽施工;设备安装与集成类项目开工建设,是指生产设备进场安装。项目开工建设前期准备工作不属于开工建设,如地质勘探、平整场地、拆除旧有建筑物、临时建筑、围墙施工、铺设临时道路、通水、通电及搭建施工用临时建筑等。国家</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省和</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对项目开工建设另有规定的从其规定。</w:t>
      </w:r>
    </w:p>
    <w:p w14:paraId="55D638A7">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未按本办法规定进行节能审查,或节能审查未通过的项目,建设单位不得开工建设,已经建成的不得投入生产、使用</w:t>
      </w:r>
      <w:r>
        <w:rPr>
          <w:rFonts w:hint="eastAsia" w:ascii="仿宋_GB2312" w:hAnsi="仿宋_GB2312" w:eastAsia="仿宋_GB2312" w:cs="仿宋_GB2312"/>
          <w:sz w:val="32"/>
          <w:szCs w:val="32"/>
          <w:highlight w:val="none"/>
          <w:lang w:eastAsia="zh-CN"/>
        </w:rPr>
        <w:t>。</w:t>
      </w:r>
    </w:p>
    <w:p w14:paraId="192D3A70">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黑体" w:hAnsi="黑体" w:eastAsia="黑体" w:cs="黑体"/>
          <w:bCs/>
          <w:sz w:val="32"/>
          <w:szCs w:val="32"/>
          <w:highlight w:val="none"/>
        </w:rPr>
      </w:pPr>
      <w:r>
        <w:rPr>
          <w:rFonts w:hint="eastAsia" w:ascii="仿宋_GB2312" w:hAnsi="仿宋_GB2312" w:eastAsia="仿宋_GB2312" w:cs="仿宋_GB2312"/>
          <w:b/>
          <w:bCs/>
          <w:sz w:val="32"/>
          <w:szCs w:val="32"/>
          <w:highlight w:val="none"/>
        </w:rPr>
        <w:t>第四条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固定资产投资项目节能审查相关工作经费,按照国家有关规定纳入部门预算,并按照规定程序向同级财政部门申请。对项目进行节能审査不得收取任何费用。</w:t>
      </w:r>
    </w:p>
    <w:p w14:paraId="2BCC4436">
      <w:pPr>
        <w:pageBreakBefore w:val="0"/>
        <w:kinsoku/>
        <w:wordWrap/>
        <w:overflowPunct/>
        <w:topLinePunct w:val="0"/>
        <w:autoSpaceDE/>
        <w:autoSpaceDN/>
        <w:bidi w:val="0"/>
        <w:adjustRightInd/>
        <w:snapToGrid/>
        <w:spacing w:line="620" w:lineRule="exact"/>
        <w:jc w:val="center"/>
        <w:textAlignment w:val="auto"/>
        <w:rPr>
          <w:rFonts w:hint="eastAsia" w:ascii="黑体" w:hAnsi="黑体" w:eastAsia="黑体" w:cs="黑体"/>
          <w:bCs/>
          <w:sz w:val="32"/>
          <w:szCs w:val="32"/>
          <w:highlight w:val="none"/>
          <w:lang w:eastAsia="zh-CN"/>
        </w:rPr>
      </w:pPr>
      <w:r>
        <w:rPr>
          <w:rFonts w:hint="eastAsia" w:ascii="黑体" w:hAnsi="黑体" w:eastAsia="黑体" w:cs="黑体"/>
          <w:bCs/>
          <w:sz w:val="32"/>
          <w:szCs w:val="32"/>
          <w:highlight w:val="none"/>
        </w:rPr>
        <w:t xml:space="preserve">第二章  </w:t>
      </w:r>
      <w:r>
        <w:rPr>
          <w:rFonts w:hint="eastAsia" w:ascii="黑体" w:hAnsi="黑体" w:eastAsia="黑体" w:cs="黑体"/>
          <w:bCs/>
          <w:sz w:val="32"/>
          <w:szCs w:val="32"/>
          <w:highlight w:val="none"/>
          <w:lang w:eastAsia="zh-CN"/>
        </w:rPr>
        <w:t>管理职责</w:t>
      </w:r>
    </w:p>
    <w:p w14:paraId="68CB4CCF">
      <w:pPr>
        <w:pageBreakBefore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b/>
          <w:bCs w:val="0"/>
          <w:sz w:val="32"/>
          <w:szCs w:val="32"/>
          <w:highlight w:val="none"/>
          <w:lang w:eastAsia="zh-CN"/>
        </w:rPr>
        <w:t>第五条</w:t>
      </w:r>
      <w:r>
        <w:rPr>
          <w:rFonts w:hint="eastAsia" w:ascii="仿宋_GB2312" w:hAnsi="仿宋_GB2312" w:eastAsia="仿宋_GB2312" w:cs="仿宋_GB2312"/>
          <w:bCs/>
          <w:sz w:val="32"/>
          <w:szCs w:val="32"/>
          <w:highlight w:val="none"/>
          <w:lang w:val="en-US" w:eastAsia="zh-CN"/>
        </w:rPr>
        <w:t xml:space="preserve"> </w:t>
      </w:r>
      <w:r>
        <w:rPr>
          <w:rFonts w:hint="eastAsia" w:ascii="仿宋_GB2312" w:hAnsi="仿宋_GB2312" w:eastAsia="仿宋_GB2312" w:cs="仿宋_GB2312"/>
          <w:bCs/>
          <w:sz w:val="32"/>
          <w:szCs w:val="32"/>
          <w:highlight w:val="none"/>
          <w:lang w:eastAsia="zh-CN"/>
        </w:rPr>
        <w:t>市发展改革委负责全本市固定资产投项目节能审查工作指导和统筹协调,落实国家和省能源消耗总量调控和能耗强度约束性管理制度，控制化石能源消费，执行原料用能、可再生能源扣减和国家重大项目能耗单列政策，推进碳达峰碳中和，坚决遏制高耗能、高排放、低水平项目盲目发展。</w:t>
      </w:r>
    </w:p>
    <w:p w14:paraId="6AD15D48">
      <w:pPr>
        <w:pageBreakBefore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b/>
          <w:bCs w:val="0"/>
          <w:sz w:val="32"/>
          <w:szCs w:val="32"/>
          <w:highlight w:val="none"/>
          <w:lang w:eastAsia="zh-CN"/>
        </w:rPr>
        <w:t>第六条</w:t>
      </w:r>
      <w:r>
        <w:rPr>
          <w:rFonts w:hint="eastAsia" w:ascii="仿宋_GB2312" w:hAnsi="仿宋_GB2312" w:eastAsia="仿宋_GB2312" w:cs="仿宋_GB2312"/>
          <w:bCs/>
          <w:sz w:val="32"/>
          <w:szCs w:val="32"/>
          <w:highlight w:val="none"/>
          <w:lang w:val="en-US" w:eastAsia="zh-CN"/>
        </w:rPr>
        <w:t xml:space="preserve"> </w:t>
      </w:r>
      <w:r>
        <w:rPr>
          <w:rFonts w:hint="eastAsia" w:ascii="仿宋_GB2312" w:hAnsi="仿宋_GB2312" w:eastAsia="仿宋_GB2312" w:cs="仿宋_GB2312"/>
          <w:bCs/>
          <w:sz w:val="32"/>
          <w:szCs w:val="32"/>
          <w:highlight w:val="none"/>
          <w:lang w:eastAsia="zh-CN"/>
        </w:rPr>
        <w:t>各县（市）区、市属开发区管理节能工作的部门应根据本地节能工作实际,落实能源消耗总量和强度调控，强化能耗强度降低约束性指标管理,有效增强能源消费总量管理弹性,控制化石能源消费,坚决遏制高耗能、高排放、低水平项目盲目发展,推动能源要素优化配置。</w:t>
      </w:r>
    </w:p>
    <w:p w14:paraId="49F6EFE8">
      <w:pPr>
        <w:pageBreakBefore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b/>
          <w:bCs w:val="0"/>
          <w:sz w:val="32"/>
          <w:szCs w:val="32"/>
          <w:highlight w:val="none"/>
          <w:lang w:eastAsia="zh-CN"/>
        </w:rPr>
        <w:t>第七条</w:t>
      </w:r>
      <w:r>
        <w:rPr>
          <w:rFonts w:hint="eastAsia" w:ascii="仿宋_GB2312" w:hAnsi="仿宋_GB2312" w:eastAsia="仿宋_GB2312" w:cs="仿宋_GB2312"/>
          <w:bCs/>
          <w:sz w:val="32"/>
          <w:szCs w:val="32"/>
          <w:highlight w:val="none"/>
          <w:lang w:val="en-US" w:eastAsia="zh-CN"/>
        </w:rPr>
        <w:t xml:space="preserve"> </w:t>
      </w:r>
      <w:r>
        <w:rPr>
          <w:rFonts w:hint="eastAsia" w:ascii="仿宋_GB2312" w:hAnsi="仿宋_GB2312" w:eastAsia="仿宋_GB2312" w:cs="仿宋_GB2312"/>
          <w:bCs/>
          <w:sz w:val="32"/>
          <w:szCs w:val="32"/>
          <w:highlight w:val="none"/>
          <w:lang w:eastAsia="zh-CN"/>
        </w:rPr>
        <w:t>节能审查机关应当制定并公开服务指南,列明节能审查的申报材料的形式和深度要求、受理方式、审查条件、办理流程、办理时限等,为建设单位提供指导和服务，持续完善“全程网办”流程,提高工作效能和透明度。市级节能审查机关应加强对下级节能审查机关的工作指导。</w:t>
      </w:r>
    </w:p>
    <w:p w14:paraId="3A94D692">
      <w:pPr>
        <w:pageBreakBefore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bCs/>
          <w:sz w:val="32"/>
          <w:szCs w:val="32"/>
          <w:highlight w:val="yellow"/>
          <w:lang w:eastAsia="zh-CN"/>
        </w:rPr>
      </w:pPr>
      <w:r>
        <w:rPr>
          <w:rFonts w:hint="eastAsia" w:ascii="仿宋_GB2312" w:hAnsi="仿宋_GB2312" w:eastAsia="仿宋_GB2312" w:cs="仿宋_GB2312"/>
          <w:b/>
          <w:bCs w:val="0"/>
          <w:sz w:val="32"/>
          <w:szCs w:val="32"/>
          <w:highlight w:val="none"/>
          <w:lang w:eastAsia="zh-CN"/>
        </w:rPr>
        <w:t>第八条</w:t>
      </w:r>
      <w:r>
        <w:rPr>
          <w:rFonts w:hint="eastAsia" w:ascii="仿宋_GB2312" w:hAnsi="仿宋_GB2312" w:eastAsia="仿宋_GB2312" w:cs="仿宋_GB2312"/>
          <w:bCs/>
          <w:sz w:val="32"/>
          <w:szCs w:val="32"/>
          <w:highlight w:val="none"/>
          <w:lang w:val="en-US" w:eastAsia="zh-CN"/>
        </w:rPr>
        <w:t xml:space="preserve"> </w:t>
      </w:r>
      <w:r>
        <w:rPr>
          <w:rFonts w:hint="eastAsia" w:ascii="仿宋_GB2312" w:hAnsi="仿宋_GB2312" w:eastAsia="仿宋_GB2312" w:cs="仿宋_GB2312"/>
          <w:bCs/>
          <w:sz w:val="32"/>
          <w:szCs w:val="32"/>
          <w:highlight w:val="none"/>
          <w:lang w:eastAsia="zh-CN"/>
        </w:rPr>
        <w:t>节能审查机关与管理节能工作的部门为不同部门的,节能审查机关应与同级管理节能工作的部门加强工作衔接,项目节能审查应征求同级管理节能工作的部门意见,并及时将本部门节能审查实施情况抄送同级管理节能工作的部门。</w:t>
      </w:r>
    </w:p>
    <w:p w14:paraId="2549B5D9">
      <w:pPr>
        <w:pageBreakBefore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b/>
          <w:bCs w:val="0"/>
          <w:sz w:val="32"/>
          <w:szCs w:val="32"/>
          <w:highlight w:val="none"/>
          <w:lang w:eastAsia="zh-CN"/>
        </w:rPr>
        <w:t>第九条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bCs/>
          <w:sz w:val="32"/>
          <w:szCs w:val="32"/>
          <w:highlight w:val="none"/>
          <w:lang w:eastAsia="zh-CN"/>
        </w:rPr>
        <w:t>固定资产投资项目节能审查按照项目管理权限和用能量实行分级管理。</w:t>
      </w:r>
    </w:p>
    <w:p w14:paraId="7F000309">
      <w:pPr>
        <w:pageBreakBefore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sz w:val="32"/>
          <w:szCs w:val="32"/>
          <w:highlight w:val="none"/>
          <w:lang w:eastAsia="zh-CN"/>
        </w:rPr>
        <w:t>国家发展改革委核报国务院审批、核准以及国家发展改革委审批、核准的固定资产投资项目，省发展改革委核报省人民政府审批、核准以及省发展改革委审批、核准和备案的固定资产投资项目，</w:t>
      </w:r>
      <w:r>
        <w:rPr>
          <w:rFonts w:hint="eastAsia" w:ascii="仿宋_GB2312" w:hAnsi="仿宋_GB2312" w:eastAsia="仿宋_GB2312" w:cs="仿宋_GB2312"/>
          <w:bCs/>
          <w:sz w:val="32"/>
          <w:szCs w:val="32"/>
          <w:highlight w:val="none"/>
          <w:lang w:eastAsia="zh-CN"/>
        </w:rPr>
        <w:t>其节能审查由省级节能审查机关负责。</w:t>
      </w:r>
    </w:p>
    <w:p w14:paraId="1D15CDFF">
      <w:pPr>
        <w:pageBreakBefore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bCs/>
          <w:sz w:val="32"/>
          <w:szCs w:val="32"/>
          <w:highlight w:val="none"/>
          <w:lang w:eastAsia="zh-CN"/>
        </w:rPr>
        <w:t>年综合能源消费量(建设地点、主要生产工艺和设备未改变的改建项目按照建成投产后年综合能源消费增量计算，其他项目按照建成投产后年综合能源消费量计算,电力折算系数按当量值,下同)10000吨标准煤及以上的固定资产投资项目,其节能审查由省级节能审查机关负责。</w:t>
      </w:r>
    </w:p>
    <w:p w14:paraId="23E91370">
      <w:pPr>
        <w:pageBreakBefore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bCs/>
          <w:sz w:val="32"/>
          <w:szCs w:val="32"/>
          <w:highlight w:val="none"/>
          <w:lang w:eastAsia="zh-CN"/>
        </w:rPr>
        <w:t>年综合能源消费量1000(含)吨标准煤-10000吨标准煤的固定资产投资项目,其节能审查管理权限由市级节能审查机关负责,并报省级节能审查机关备案。</w:t>
      </w:r>
    </w:p>
    <w:p w14:paraId="38FBADCC">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bCs/>
          <w:sz w:val="32"/>
          <w:szCs w:val="32"/>
          <w:highlight w:val="none"/>
          <w:lang w:eastAsia="zh-CN"/>
        </w:rPr>
        <w:t>年综合能源消费量不满1000吨标准煤且年电力消费量不满500万千瓦时的固定资产投资项目,涉及国家秘密的固定资产投资项目以及用能工艺简单、节能潜力小的行业(参照国家发展改革委制定公布或更新的具体行业目录)的固定资产投资项目,可不单独编制节能报告。项目应按照相关节能标准、规范建设,项目可行性研究报告或项目申请报告应对项目能源利用、节能措施和能效水平等进行分析,说明项目年综合能源消费量、年电力消费量等内容，并</w:t>
      </w:r>
      <w:r>
        <w:rPr>
          <w:rFonts w:hint="eastAsia" w:ascii="仿宋_GB2312" w:hAnsi="仿宋_GB2312" w:eastAsia="仿宋_GB2312" w:cs="仿宋_GB2312"/>
          <w:sz w:val="32"/>
          <w:szCs w:val="32"/>
          <w:highlight w:val="none"/>
        </w:rPr>
        <w:t>填报《固定资产投资项目能耗说明和节能承诺(表)》</w:t>
      </w:r>
      <w:r>
        <w:rPr>
          <w:rFonts w:hint="eastAsia" w:ascii="仿宋_GB2312" w:hAnsi="仿宋_GB2312" w:eastAsia="仿宋_GB2312" w:cs="仿宋_GB2312"/>
          <w:sz w:val="32"/>
          <w:szCs w:val="32"/>
          <w:highlight w:val="none"/>
          <w:lang w:eastAsia="zh-CN"/>
        </w:rPr>
        <w:t>（涉密项目除外）</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以下简称《承诺表》</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Cs/>
          <w:sz w:val="32"/>
          <w:szCs w:val="32"/>
          <w:highlight w:val="none"/>
          <w:lang w:eastAsia="zh-CN"/>
        </w:rPr>
        <w:t>。节能审查机关对项目不再单独进行节能审查,不再出具节能审查意见。</w:t>
      </w:r>
    </w:p>
    <w:p w14:paraId="69B882D9">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kern w:val="0"/>
          <w:sz w:val="32"/>
          <w:szCs w:val="32"/>
          <w:highlight w:val="none"/>
          <w:lang w:eastAsia="zh-CN"/>
        </w:rPr>
        <w:t>节能审查机关要</w:t>
      </w:r>
      <w:r>
        <w:rPr>
          <w:rFonts w:hint="eastAsia" w:ascii="仿宋_GB2312" w:hAnsi="仿宋_GB2312" w:eastAsia="仿宋_GB2312" w:cs="仿宋_GB2312"/>
          <w:sz w:val="32"/>
          <w:szCs w:val="32"/>
          <w:highlight w:val="none"/>
        </w:rPr>
        <w:t>对本级审批、核准、备案的，且不再单独进行节能审查的项目</w:t>
      </w:r>
      <w:r>
        <w:rPr>
          <w:rFonts w:hint="eastAsia" w:ascii="仿宋_GB2312" w:hAnsi="仿宋_GB2312" w:eastAsia="仿宋_GB2312" w:cs="仿宋_GB2312"/>
          <w:sz w:val="32"/>
          <w:szCs w:val="32"/>
          <w:highlight w:val="none"/>
          <w:lang w:eastAsia="zh-CN"/>
        </w:rPr>
        <w:t>填报的</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承诺表</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也要加强监管，定期汇总，并于</w:t>
      </w:r>
      <w:r>
        <w:rPr>
          <w:rFonts w:hint="eastAsia" w:ascii="仿宋_GB2312" w:hAnsi="仿宋_GB2312" w:eastAsia="仿宋_GB2312" w:cs="仿宋_GB2312"/>
          <w:sz w:val="32"/>
          <w:szCs w:val="32"/>
          <w:highlight w:val="none"/>
        </w:rPr>
        <w:t>每年12月30日前抄报市级节能审查机关。</w:t>
      </w:r>
    </w:p>
    <w:p w14:paraId="1CB4DC4B">
      <w:pPr>
        <w:pageBreakBefore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bCs/>
          <w:sz w:val="32"/>
          <w:szCs w:val="32"/>
          <w:highlight w:val="none"/>
          <w:lang w:eastAsia="zh-CN"/>
        </w:rPr>
        <w:t>单个项目涉及两个及以上地区的,其节能审查工作由项目主体工程(或控制性工程)所在地节能审查机关上报市级节能审查机关研究确定后实施。打捆项目涉及两个及以上地区的,其节能审查工作分别由子项目所在地相关节能审查机关上报市级节能审查机关研究确定后实施。</w:t>
      </w:r>
    </w:p>
    <w:p w14:paraId="1920C037">
      <w:pPr>
        <w:pageBreakBefore w:val="0"/>
        <w:kinsoku/>
        <w:wordWrap/>
        <w:overflowPunct/>
        <w:topLinePunct w:val="0"/>
        <w:autoSpaceDE/>
        <w:autoSpaceDN/>
        <w:bidi w:val="0"/>
        <w:adjustRightInd/>
        <w:snapToGrid/>
        <w:spacing w:line="620" w:lineRule="exact"/>
        <w:ind w:firstLine="640" w:firstLineChars="200"/>
        <w:jc w:val="left"/>
        <w:textAlignment w:val="auto"/>
        <w:rPr>
          <w:rFonts w:hint="eastAsia" w:ascii="黑体" w:hAnsi="黑体" w:eastAsia="黑体" w:cs="黑体"/>
          <w:bCs/>
          <w:sz w:val="32"/>
          <w:szCs w:val="32"/>
          <w:highlight w:val="none"/>
          <w:lang w:eastAsia="zh-CN"/>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十</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b w:val="0"/>
          <w:bCs w:val="0"/>
          <w:sz w:val="32"/>
          <w:szCs w:val="32"/>
          <w:highlight w:val="none"/>
          <w:lang w:val="en-US" w:eastAsia="zh-CN"/>
        </w:rPr>
        <w:t>各类开发区和其他有条件的区域可以探索实施区域节能审查,明确区域节能目标节能措施、能效准入、化石能源消费控制等要求。对已经实施区域节能审查范围内的项目,除应由省级节能审查机关审查的,节能审查实行告知承诺制。</w:t>
      </w:r>
    </w:p>
    <w:p w14:paraId="7D16C53C">
      <w:pPr>
        <w:pageBreakBefore w:val="0"/>
        <w:kinsoku/>
        <w:wordWrap/>
        <w:overflowPunct/>
        <w:topLinePunct w:val="0"/>
        <w:autoSpaceDE/>
        <w:autoSpaceDN/>
        <w:bidi w:val="0"/>
        <w:adjustRightInd/>
        <w:snapToGrid/>
        <w:spacing w:line="620" w:lineRule="exact"/>
        <w:jc w:val="center"/>
        <w:textAlignment w:val="auto"/>
        <w:rPr>
          <w:rFonts w:hint="eastAsia" w:ascii="黑体" w:hAnsi="黑体" w:eastAsia="黑体" w:cs="黑体"/>
          <w:bCs/>
          <w:sz w:val="32"/>
          <w:szCs w:val="32"/>
          <w:highlight w:val="yellow"/>
        </w:rPr>
      </w:pPr>
      <w:r>
        <w:rPr>
          <w:rFonts w:hint="eastAsia" w:ascii="黑体" w:hAnsi="黑体" w:eastAsia="黑体" w:cs="黑体"/>
          <w:bCs/>
          <w:sz w:val="32"/>
          <w:szCs w:val="32"/>
          <w:highlight w:val="none"/>
          <w:lang w:eastAsia="zh-CN"/>
        </w:rPr>
        <w:t>第三章</w:t>
      </w:r>
      <w:r>
        <w:rPr>
          <w:rFonts w:hint="eastAsia" w:ascii="黑体" w:hAnsi="黑体" w:eastAsia="黑体" w:cs="黑体"/>
          <w:bCs/>
          <w:sz w:val="32"/>
          <w:szCs w:val="32"/>
          <w:highlight w:val="none"/>
          <w:lang w:val="en-US" w:eastAsia="zh-CN"/>
        </w:rPr>
        <w:t xml:space="preserve"> </w:t>
      </w:r>
      <w:r>
        <w:rPr>
          <w:rFonts w:hint="eastAsia" w:ascii="黑体" w:hAnsi="黑体" w:eastAsia="黑体" w:cs="黑体"/>
          <w:bCs/>
          <w:sz w:val="32"/>
          <w:szCs w:val="32"/>
          <w:highlight w:val="none"/>
        </w:rPr>
        <w:t>节能审查</w:t>
      </w:r>
    </w:p>
    <w:p w14:paraId="7A673B68">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十一</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需进行节能审查的固定资产投资项目，建设单位应编制节能报告。项目节能报告应包括下列内容：</w:t>
      </w:r>
    </w:p>
    <w:p w14:paraId="4743459E">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（一）项目概况；</w:t>
      </w:r>
    </w:p>
    <w:p w14:paraId="5B9D88FB">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（二）分析评价依据；</w:t>
      </w:r>
    </w:p>
    <w:p w14:paraId="5C86BAE3">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（三）项目建设及运营方案节能分析和比选,包括总平面布置、生产工艺、用能工艺、用能设备和能源计量器具等方面；</w:t>
      </w:r>
    </w:p>
    <w:p w14:paraId="43672FB8">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（四）节能措施及其技术、经济论证；</w:t>
      </w:r>
    </w:p>
    <w:p w14:paraId="6257B2B9">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五）项目能效水平、能源消费情况,包括单位产品能耗、单位产品化石能源消耗、单位增加值(产值)能耗、单位增加值(产值)化石能源消耗、能源消费量、能源消费结构、化石能源消费量、可再生能源消费量和供给保障情况、原料用能消费量;有关数据与国家、地方、行业标准及国际、国内行业水平的全面比较；</w:t>
      </w:r>
    </w:p>
    <w:p w14:paraId="3F8D9A45">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（六）项目实施对所在地完成节能目标任务的影响分析。</w:t>
      </w:r>
    </w:p>
    <w:p w14:paraId="197782C7">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具备碳排放统计核算条件的项目,应在节能报告中核算碳排放量、碳排放强度指标,提出降碳措施,分析项目碳排放情况对所在地完成降碳目标任务的影响。</w:t>
      </w:r>
    </w:p>
    <w:p w14:paraId="01CC9D1F">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建设单位应出具书面承诺,对节能报告的真实性、合法性和完整性负责，不得以拆分或合并项目等不正当手段逃避节能审查。</w:t>
      </w:r>
    </w:p>
    <w:p w14:paraId="6ED2DFC0">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十二</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建设单位申请节能审查时，应提供项目节能报告和</w:t>
      </w:r>
      <w:r>
        <w:rPr>
          <w:rFonts w:hint="eastAsia" w:ascii="仿宋_GB2312" w:hAnsi="仿宋_GB2312" w:eastAsia="仿宋_GB2312" w:cs="仿宋_GB2312"/>
          <w:sz w:val="32"/>
          <w:szCs w:val="32"/>
          <w:highlight w:val="none"/>
          <w:lang w:eastAsia="zh-CN"/>
        </w:rPr>
        <w:t>项目</w:t>
      </w:r>
      <w:r>
        <w:rPr>
          <w:rFonts w:hint="eastAsia" w:ascii="仿宋_GB2312" w:hAnsi="仿宋_GB2312" w:eastAsia="仿宋_GB2312" w:cs="仿宋_GB2312"/>
          <w:sz w:val="32"/>
          <w:szCs w:val="32"/>
          <w:highlight w:val="none"/>
        </w:rPr>
        <w:t>节能</w:t>
      </w:r>
      <w:r>
        <w:rPr>
          <w:rFonts w:hint="eastAsia" w:ascii="仿宋_GB2312" w:hAnsi="仿宋_GB2312" w:eastAsia="仿宋_GB2312" w:cs="仿宋_GB2312"/>
          <w:sz w:val="32"/>
          <w:szCs w:val="32"/>
          <w:highlight w:val="none"/>
          <w:lang w:eastAsia="zh-CN"/>
        </w:rPr>
        <w:t>审查申请</w:t>
      </w:r>
      <w:r>
        <w:rPr>
          <w:rFonts w:hint="eastAsia" w:ascii="仿宋_GB2312" w:hAnsi="仿宋_GB2312" w:eastAsia="仿宋_GB2312" w:cs="仿宋_GB2312"/>
          <w:sz w:val="32"/>
          <w:szCs w:val="32"/>
          <w:highlight w:val="none"/>
        </w:rPr>
        <w:t>文件（一式两份）。</w:t>
      </w:r>
      <w:r>
        <w:rPr>
          <w:rFonts w:hint="eastAsia" w:ascii="仿宋_GB2312" w:hAnsi="仿宋_GB2312" w:eastAsia="仿宋_GB2312" w:cs="仿宋_GB2312"/>
          <w:sz w:val="32"/>
          <w:szCs w:val="32"/>
          <w:highlight w:val="none"/>
          <w:lang w:eastAsia="zh-CN"/>
        </w:rPr>
        <w:t>须落实能耗替代的</w:t>
      </w:r>
      <w:r>
        <w:rPr>
          <w:rFonts w:hint="eastAsia" w:ascii="仿宋_GB2312" w:hAnsi="仿宋_GB2312" w:eastAsia="仿宋_GB2312" w:cs="仿宋_GB2312"/>
          <w:sz w:val="32"/>
          <w:szCs w:val="32"/>
          <w:highlight w:val="none"/>
        </w:rPr>
        <w:t>项目，</w:t>
      </w:r>
      <w:r>
        <w:rPr>
          <w:rFonts w:hint="eastAsia" w:ascii="仿宋_GB2312" w:hAnsi="仿宋_GB2312" w:eastAsia="仿宋_GB2312" w:cs="仿宋_GB2312"/>
          <w:sz w:val="32"/>
          <w:szCs w:val="32"/>
          <w:highlight w:val="none"/>
          <w:lang w:eastAsia="zh-CN"/>
        </w:rPr>
        <w:t>项目</w:t>
      </w:r>
      <w:r>
        <w:rPr>
          <w:rFonts w:hint="eastAsia" w:ascii="仿宋_GB2312" w:hAnsi="仿宋_GB2312" w:eastAsia="仿宋_GB2312" w:cs="仿宋_GB2312"/>
          <w:sz w:val="32"/>
          <w:szCs w:val="32"/>
          <w:highlight w:val="none"/>
        </w:rPr>
        <w:t>节能</w:t>
      </w:r>
      <w:r>
        <w:rPr>
          <w:rFonts w:hint="eastAsia" w:ascii="仿宋_GB2312" w:hAnsi="仿宋_GB2312" w:eastAsia="仿宋_GB2312" w:cs="仿宋_GB2312"/>
          <w:sz w:val="32"/>
          <w:szCs w:val="32"/>
          <w:highlight w:val="none"/>
          <w:lang w:eastAsia="zh-CN"/>
        </w:rPr>
        <w:t>审查申请文件应当附项目所在地节能主管部门出具的能耗替代方案</w:t>
      </w:r>
      <w:r>
        <w:rPr>
          <w:rFonts w:hint="eastAsia" w:ascii="仿宋_GB2312" w:hAnsi="仿宋_GB2312" w:eastAsia="仿宋_GB2312" w:cs="仿宋_GB2312"/>
          <w:sz w:val="32"/>
          <w:szCs w:val="32"/>
          <w:highlight w:val="none"/>
        </w:rPr>
        <w:t>。</w:t>
      </w:r>
    </w:p>
    <w:p w14:paraId="7782A28E">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rPr>
      </w:pPr>
      <w:r>
        <w:rPr>
          <w:rStyle w:val="15"/>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rPr>
        <w:t>十</w:t>
      </w:r>
      <w:r>
        <w:rPr>
          <w:rFonts w:hint="eastAsia" w:ascii="仿宋_GB2312" w:hAnsi="仿宋_GB2312" w:eastAsia="仿宋_GB2312" w:cs="仿宋_GB2312"/>
          <w:b/>
          <w:bCs/>
          <w:sz w:val="32"/>
          <w:szCs w:val="32"/>
          <w:highlight w:val="none"/>
          <w:lang w:eastAsia="zh-CN"/>
        </w:rPr>
        <w:t>三</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节能报告内容齐全、符合法定形式的,节能审查机关应当予以受理。内容不齐全或不符合法定形式的,节能审查机关应当当场或者3个工作日内一次告知建设单位需要补正的全部内容,逾期不告知的,自收到报告之日起即为受理。</w:t>
      </w:r>
    </w:p>
    <w:p w14:paraId="3AD2BD18">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第十</w:t>
      </w:r>
      <w:r>
        <w:rPr>
          <w:rFonts w:hint="eastAsia" w:ascii="仿宋_GB2312" w:hAnsi="仿宋_GB2312" w:eastAsia="仿宋_GB2312" w:cs="仿宋_GB2312"/>
          <w:b/>
          <w:bCs/>
          <w:sz w:val="32"/>
          <w:szCs w:val="32"/>
          <w:highlight w:val="none"/>
          <w:lang w:eastAsia="zh-CN"/>
        </w:rPr>
        <w:t>四</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节能审查机关受理节能报告后,应</w:t>
      </w:r>
      <w:r>
        <w:rPr>
          <w:rFonts w:hint="eastAsia" w:ascii="仿宋_GB2312" w:hAnsi="仿宋_GB2312" w:eastAsia="仿宋_GB2312" w:cs="仿宋_GB2312"/>
          <w:sz w:val="32"/>
          <w:szCs w:val="32"/>
          <w:highlight w:val="none"/>
          <w:lang w:eastAsia="zh-CN"/>
        </w:rPr>
        <w:t>委托具备技术能力的</w:t>
      </w:r>
      <w:r>
        <w:rPr>
          <w:rFonts w:hint="eastAsia" w:ascii="仿宋_GB2312" w:hAnsi="仿宋_GB2312" w:eastAsia="仿宋_GB2312" w:cs="仿宋_GB2312"/>
          <w:sz w:val="32"/>
          <w:szCs w:val="32"/>
          <w:highlight w:val="none"/>
        </w:rPr>
        <w:t>机构进行评审,形成评审意见,作为节能审查的重要依据。评审机构如已参与某一项目前期工作,包括但不限于节能报告编制、可行性</w:t>
      </w:r>
      <w:r>
        <w:rPr>
          <w:rFonts w:hint="eastAsia" w:ascii="仿宋_GB2312" w:hAnsi="仿宋_GB2312" w:eastAsia="仿宋_GB2312" w:cs="仿宋_GB2312"/>
          <w:sz w:val="32"/>
          <w:szCs w:val="32"/>
          <w:highlight w:val="none"/>
          <w:lang w:eastAsia="zh-CN"/>
        </w:rPr>
        <w:t>研</w:t>
      </w:r>
      <w:r>
        <w:rPr>
          <w:rFonts w:hint="eastAsia" w:ascii="仿宋_GB2312" w:hAnsi="仿宋_GB2312" w:eastAsia="仿宋_GB2312" w:cs="仿宋_GB2312"/>
          <w:sz w:val="32"/>
          <w:szCs w:val="32"/>
          <w:highlight w:val="none"/>
        </w:rPr>
        <w:t>究报告编制、资金</w:t>
      </w:r>
      <w:r>
        <w:rPr>
          <w:rFonts w:hint="eastAsia" w:ascii="仿宋_GB2312" w:hAnsi="仿宋_GB2312" w:eastAsia="仿宋_GB2312" w:cs="仿宋_GB2312"/>
          <w:sz w:val="32"/>
          <w:szCs w:val="32"/>
          <w:highlight w:val="none"/>
          <w:lang w:eastAsia="zh-CN"/>
        </w:rPr>
        <w:t>申请</w:t>
      </w:r>
      <w:r>
        <w:rPr>
          <w:rFonts w:hint="eastAsia" w:ascii="仿宋_GB2312" w:hAnsi="仿宋_GB2312" w:eastAsia="仿宋_GB2312" w:cs="仿宋_GB2312"/>
          <w:sz w:val="32"/>
          <w:szCs w:val="32"/>
          <w:highlight w:val="none"/>
        </w:rPr>
        <w:t>报告编制等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不得承担该项目节能报告评审工作。</w:t>
      </w:r>
    </w:p>
    <w:p w14:paraId="24048C41">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default"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none"/>
          <w:lang w:eastAsia="zh-CN"/>
        </w:rPr>
        <w:t>节能评审机构应在节能审查机关规定的时间内提出评审意见，除项目情况复杂的，评审时限不得超过</w:t>
      </w:r>
      <w:r>
        <w:rPr>
          <w:rFonts w:hint="eastAsia" w:ascii="仿宋_GB2312" w:hAnsi="仿宋_GB2312" w:eastAsia="仿宋_GB2312" w:cs="仿宋_GB2312"/>
          <w:sz w:val="32"/>
          <w:szCs w:val="32"/>
          <w:highlight w:val="none"/>
          <w:lang w:val="en-US" w:eastAsia="zh-CN"/>
        </w:rPr>
        <w:t>30个工作日。项目情况复杂的，可以延长评审时限，但延长期限不得超过30个工作日。建设单位补正材料时间不计算在本条规定的评审时限内。</w:t>
      </w:r>
    </w:p>
    <w:p w14:paraId="64291628">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rPr>
        <w:t>第十</w:t>
      </w:r>
      <w:r>
        <w:rPr>
          <w:rFonts w:hint="eastAsia" w:ascii="仿宋_GB2312" w:hAnsi="仿宋_GB2312" w:eastAsia="仿宋_GB2312" w:cs="仿宋_GB2312"/>
          <w:b/>
          <w:bCs/>
          <w:sz w:val="32"/>
          <w:szCs w:val="32"/>
          <w:highlight w:val="none"/>
          <w:lang w:eastAsia="zh-CN"/>
        </w:rPr>
        <w:t>五</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节能审查机关应当从以下方面对项目节能报告进行审查</w:t>
      </w:r>
      <w:r>
        <w:rPr>
          <w:rFonts w:hint="eastAsia" w:ascii="仿宋_GB2312" w:hAnsi="仿宋_GB2312" w:eastAsia="仿宋_GB2312" w:cs="仿宋_GB2312"/>
          <w:sz w:val="32"/>
          <w:szCs w:val="32"/>
          <w:highlight w:val="none"/>
          <w:lang w:eastAsia="zh-CN"/>
        </w:rPr>
        <w:t>：</w:t>
      </w:r>
    </w:p>
    <w:p w14:paraId="445D8556">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(一)项目是否符合节能有关法律法规、标准规范、政策要求</w:t>
      </w:r>
      <w:r>
        <w:rPr>
          <w:rFonts w:hint="eastAsia" w:ascii="仿宋_GB2312" w:hAnsi="仿宋_GB2312" w:eastAsia="仿宋_GB2312" w:cs="仿宋_GB2312"/>
          <w:sz w:val="32"/>
          <w:szCs w:val="32"/>
          <w:highlight w:val="none"/>
          <w:lang w:eastAsia="zh-CN"/>
        </w:rPr>
        <w:t>；</w:t>
      </w:r>
    </w:p>
    <w:p w14:paraId="337EB5E7">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(二)项目用能分析是否客观准确,方法是否科学,</w:t>
      </w:r>
      <w:r>
        <w:rPr>
          <w:rFonts w:hint="eastAsia" w:ascii="仿宋_GB2312" w:hAnsi="仿宋_GB2312" w:eastAsia="仿宋_GB2312" w:cs="仿宋_GB2312"/>
          <w:sz w:val="32"/>
          <w:szCs w:val="32"/>
          <w:highlight w:val="none"/>
          <w:lang w:eastAsia="zh-CN"/>
        </w:rPr>
        <w:t>结论是否准确；</w:t>
      </w:r>
    </w:p>
    <w:p w14:paraId="20FC4E1C">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（三）项目节能措施是否合理可行；</w:t>
      </w:r>
    </w:p>
    <w:p w14:paraId="11915F92">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（四）项目的能效水平、能源消费等相关数据核算是否准确,是否满足本地区节能工作管理要求。</w:t>
      </w:r>
    </w:p>
    <w:p w14:paraId="5C787CE3">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节能审查机关在节能审查工作中,应强化能耗强度和能效水平的约束性审核。项目主要产品或工序相关耗能数据应对标同行业能耗限额标准先进值、标杆值或国际先进水平；加强项目工业增加值能耗对所在地能耗强度降低目标的影响分析。</w:t>
      </w:r>
    </w:p>
    <w:p w14:paraId="2CF6BC98">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eastAsia="zh-CN"/>
        </w:rPr>
        <w:t>第十六条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eastAsia="zh-CN"/>
        </w:rPr>
        <w:t>节能审查机关应在法律规定的时限内出具节能审查意见或明确节能审查不予通过。节能审查部门应自受理项目节能报告</w:t>
      </w:r>
      <w:r>
        <w:rPr>
          <w:rFonts w:hint="eastAsia" w:ascii="仿宋_GB2312" w:hAnsi="仿宋_GB2312" w:eastAsia="仿宋_GB2312" w:cs="仿宋_GB2312"/>
          <w:color w:val="auto"/>
          <w:sz w:val="32"/>
          <w:szCs w:val="32"/>
          <w:highlight w:val="none"/>
          <w:lang w:val="en-US" w:eastAsia="zh-CN"/>
        </w:rPr>
        <w:t>20个工作日内，</w:t>
      </w:r>
      <w:r>
        <w:rPr>
          <w:rFonts w:hint="eastAsia" w:ascii="仿宋_GB2312" w:hAnsi="仿宋_GB2312" w:eastAsia="仿宋_GB2312" w:cs="仿宋_GB2312"/>
          <w:color w:val="auto"/>
          <w:sz w:val="32"/>
          <w:szCs w:val="32"/>
          <w:highlight w:val="none"/>
          <w:lang w:eastAsia="zh-CN"/>
        </w:rPr>
        <w:t>出具节能审查意见。</w:t>
      </w:r>
      <w:r>
        <w:rPr>
          <w:rFonts w:hint="eastAsia" w:ascii="仿宋_GB2312" w:hAnsi="仿宋_GB2312" w:eastAsia="仿宋_GB2312" w:cs="仿宋_GB2312"/>
          <w:color w:val="auto"/>
          <w:sz w:val="32"/>
          <w:szCs w:val="32"/>
          <w:highlight w:val="none"/>
          <w:lang w:val="en-US" w:eastAsia="zh-CN"/>
        </w:rPr>
        <w:t>20个工作日不能出具的，经本部门负责人批准，可以延长10个工作日。项目节能报告委托评审的时间不计算在本条规定的审查时限内。</w:t>
      </w:r>
    </w:p>
    <w:p w14:paraId="2796BD65">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节能审查意见自印发之日起2年内有效,逾期未开工建设或建成时间超过节能报告中预计建成时间2年以上的项目应重新进行节能审查。</w:t>
      </w:r>
    </w:p>
    <w:p w14:paraId="176EAAC1">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eastAsia="zh-CN"/>
        </w:rPr>
        <w:t>第十七条</w:t>
      </w:r>
      <w:r>
        <w:rPr>
          <w:rFonts w:hint="eastAsia" w:ascii="仿宋_GB2312" w:hAnsi="仿宋_GB2312" w:eastAsia="仿宋_GB2312" w:cs="仿宋_GB2312"/>
          <w:sz w:val="32"/>
          <w:szCs w:val="32"/>
          <w:highlight w:val="none"/>
          <w:lang w:val="en-US" w:eastAsia="zh-CN"/>
        </w:rPr>
        <w:t xml:space="preserve"> 建设单位在设计、施工、竣工验收及运营管理中，应当严格落实节能审查意见。政府投资项目，建设单位应当按照节能审查意见进行初步设计、施工图设计、施工。企业投资项目，在施工图审查完成前，取得节能审查意见的，建设单位应按照节能审查意见进行施工图设计、施工；在施工图审查完成后，取得节能审查意见的，建设单位应在施工中落实节能审查意见，包括用能方案、设备选型、节能措施等。</w:t>
      </w:r>
    </w:p>
    <w:p w14:paraId="2DA0E1D0">
      <w:pPr>
        <w:pStyle w:val="9"/>
        <w:pageBreakBefore w:val="0"/>
        <w:shd w:val="clear" w:color="auto" w:fill="FFFFFF"/>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通过节能审查的固定资产投资项目,建设地点、建设内容、建设规模、能效水平等发生重大变动的,或年实际综合能源消费量超过节能审查批复水平10%及以上的,建设单位应向原节能审查机关提交变更申请。原节能审查机关依据实际情况,提出同意变更的意见或重新进行节能审查。项目节能审查权限发生变化的，应及时移交有权审查机关办理。</w:t>
      </w:r>
    </w:p>
    <w:p w14:paraId="2397F203">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未进行节能审查的且不在《不单独进行节能审查的行业目录》中的非涉密项目，建设内容、能效水平等发生变动，导致年综合能源消费量（增量）达到1000吨标准煤以上或年电力消费量（增量）达到500万千瓦时以上的，建设单位应依照本办法规定，申请节能审查。</w:t>
      </w:r>
    </w:p>
    <w:p w14:paraId="6A5DA675">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highlight w:val="none"/>
          <w:lang w:val="en-US"/>
        </w:rPr>
      </w:pPr>
      <w:r>
        <w:rPr>
          <w:rFonts w:hint="eastAsia" w:ascii="仿宋_GB2312" w:hAnsi="仿宋_GB2312" w:eastAsia="仿宋_GB2312" w:cs="仿宋_GB2312"/>
          <w:b/>
          <w:bCs/>
          <w:sz w:val="32"/>
          <w:szCs w:val="32"/>
          <w:highlight w:val="none"/>
          <w:lang w:val="en-US" w:eastAsia="zh-CN"/>
        </w:rPr>
        <w:t>第十八条</w:t>
      </w:r>
      <w:r>
        <w:rPr>
          <w:rFonts w:hint="eastAsia" w:ascii="仿宋_GB2312" w:hAnsi="仿宋_GB2312" w:eastAsia="仿宋_GB2312" w:cs="仿宋_GB2312"/>
          <w:b w:val="0"/>
          <w:bCs w:val="0"/>
          <w:sz w:val="32"/>
          <w:szCs w:val="32"/>
          <w:highlight w:val="none"/>
          <w:lang w:val="en-US" w:eastAsia="zh-CN"/>
        </w:rPr>
        <w:t xml:space="preserve"> 固定资产投资项目投入生产、使用前,项目建设单位应对项目节能报告中的建设方案、生产工艺、用能设备、节能技术采用情况以及节能审查意见落实情况等进行自主验收,并编制节能验收报告。</w:t>
      </w:r>
    </w:p>
    <w:p w14:paraId="34313688">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节能验收报告应由建设单位或委托中介机构完成，项目节能验收报告应包括以下内容：</w:t>
      </w:r>
    </w:p>
    <w:p w14:paraId="4E2DB7BB">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（一）基本情况,包括项目及其节能审查等相关批复节能验收组织等。</w:t>
      </w:r>
    </w:p>
    <w:p w14:paraId="673037AF">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（二）节能审查意见落实情况,对照项目节能报告和节能审查意见,分析判定是否满足节能审查有关要求,包括建设方案、用能设备、能源计量器具、能效水平、节能措施等。</w:t>
      </w:r>
    </w:p>
    <w:p w14:paraId="1B77BFF6">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（三）能耗替代方案及相关承诺落实情况。</w:t>
      </w:r>
    </w:p>
    <w:p w14:paraId="4164084B">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（四）节能验收意见。</w:t>
      </w:r>
    </w:p>
    <w:p w14:paraId="78B5E644">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项目建设单位应对节能验收报告的真实性、准确性和完整性负责。</w:t>
      </w:r>
    </w:p>
    <w:p w14:paraId="472BA0EE">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项目通过节能验收后，建设单位应将</w:t>
      </w:r>
      <w:r>
        <w:rPr>
          <w:rFonts w:hint="default" w:ascii="仿宋_GB2312" w:hAnsi="仿宋_GB2312" w:eastAsia="仿宋_GB2312" w:cs="仿宋_GB2312"/>
          <w:b w:val="0"/>
          <w:bCs w:val="0"/>
          <w:sz w:val="32"/>
          <w:szCs w:val="32"/>
          <w:highlight w:val="none"/>
          <w:lang w:val="en-US" w:eastAsia="zh-CN"/>
        </w:rPr>
        <w:t>项目节能验收报告</w:t>
      </w:r>
      <w:r>
        <w:rPr>
          <w:rFonts w:hint="eastAsia" w:ascii="仿宋_GB2312" w:hAnsi="仿宋_GB2312" w:eastAsia="仿宋_GB2312" w:cs="仿宋_GB2312"/>
          <w:b w:val="0"/>
          <w:bCs w:val="0"/>
          <w:sz w:val="32"/>
          <w:szCs w:val="32"/>
          <w:highlight w:val="none"/>
          <w:lang w:val="en-US" w:eastAsia="zh-CN"/>
        </w:rPr>
        <w:t>、验收意见和承诺书在20个工作日内报送出具节能审查意见的</w:t>
      </w:r>
      <w:r>
        <w:rPr>
          <w:rFonts w:hint="default" w:ascii="仿宋_GB2312" w:hAnsi="仿宋_GB2312" w:eastAsia="仿宋_GB2312" w:cs="仿宋_GB2312"/>
          <w:b w:val="0"/>
          <w:bCs w:val="0"/>
          <w:sz w:val="32"/>
          <w:szCs w:val="32"/>
          <w:highlight w:val="none"/>
          <w:lang w:val="en-US" w:eastAsia="zh-CN"/>
        </w:rPr>
        <w:t>节能</w:t>
      </w:r>
      <w:r>
        <w:rPr>
          <w:rFonts w:hint="eastAsia" w:ascii="仿宋_GB2312" w:hAnsi="仿宋_GB2312" w:eastAsia="仿宋_GB2312" w:cs="仿宋_GB2312"/>
          <w:b w:val="0"/>
          <w:bCs w:val="0"/>
          <w:sz w:val="32"/>
          <w:szCs w:val="32"/>
          <w:highlight w:val="none"/>
          <w:lang w:val="en-US" w:eastAsia="zh-CN"/>
        </w:rPr>
        <w:t>主管部门</w:t>
      </w:r>
      <w:r>
        <w:rPr>
          <w:rFonts w:hint="default" w:ascii="仿宋_GB2312" w:hAnsi="仿宋_GB2312" w:eastAsia="仿宋_GB2312" w:cs="仿宋_GB2312"/>
          <w:b w:val="0"/>
          <w:bCs w:val="0"/>
          <w:sz w:val="32"/>
          <w:szCs w:val="32"/>
          <w:highlight w:val="none"/>
          <w:lang w:val="en-US" w:eastAsia="zh-CN"/>
        </w:rPr>
        <w:t>存档</w:t>
      </w:r>
      <w:r>
        <w:rPr>
          <w:rFonts w:hint="eastAsia" w:ascii="仿宋_GB2312" w:hAnsi="仿宋_GB2312" w:eastAsia="仿宋_GB2312" w:cs="仿宋_GB2312"/>
          <w:b w:val="0"/>
          <w:bCs w:val="0"/>
          <w:sz w:val="32"/>
          <w:szCs w:val="32"/>
          <w:highlight w:val="none"/>
          <w:lang w:val="en-US" w:eastAsia="zh-CN"/>
        </w:rPr>
        <w:t>备查</w:t>
      </w:r>
      <w:r>
        <w:rPr>
          <w:rFonts w:hint="default" w:ascii="仿宋_GB2312" w:hAnsi="仿宋_GB2312" w:eastAsia="仿宋_GB2312" w:cs="仿宋_GB2312"/>
          <w:b w:val="0"/>
          <w:bCs w:val="0"/>
          <w:sz w:val="32"/>
          <w:szCs w:val="32"/>
          <w:highlight w:val="none"/>
          <w:lang w:val="en-US" w:eastAsia="zh-CN"/>
        </w:rPr>
        <w:t>。</w:t>
      </w:r>
    </w:p>
    <w:p w14:paraId="7100BADE">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不单独进行</w:t>
      </w:r>
      <w:r>
        <w:rPr>
          <w:rFonts w:hint="default" w:ascii="仿宋_GB2312" w:hAnsi="仿宋_GB2312" w:eastAsia="仿宋_GB2312" w:cs="仿宋_GB2312"/>
          <w:b w:val="0"/>
          <w:bCs w:val="0"/>
          <w:sz w:val="32"/>
          <w:szCs w:val="32"/>
          <w:highlight w:val="none"/>
          <w:lang w:val="en-US" w:eastAsia="zh-CN"/>
        </w:rPr>
        <w:t>节能审查的项目,</w:t>
      </w:r>
      <w:r>
        <w:rPr>
          <w:rFonts w:hint="eastAsia" w:ascii="仿宋_GB2312" w:hAnsi="仿宋_GB2312" w:eastAsia="仿宋_GB2312" w:cs="仿宋_GB2312"/>
          <w:b w:val="0"/>
          <w:bCs w:val="0"/>
          <w:sz w:val="32"/>
          <w:szCs w:val="32"/>
          <w:highlight w:val="none"/>
          <w:lang w:val="en-US" w:eastAsia="zh-CN"/>
        </w:rPr>
        <w:t>所在地节能审查机关</w:t>
      </w:r>
      <w:r>
        <w:rPr>
          <w:rFonts w:hint="default" w:ascii="仿宋_GB2312" w:hAnsi="仿宋_GB2312" w:eastAsia="仿宋_GB2312" w:cs="仿宋_GB2312"/>
          <w:b w:val="0"/>
          <w:bCs w:val="0"/>
          <w:sz w:val="32"/>
          <w:szCs w:val="32"/>
          <w:highlight w:val="none"/>
          <w:lang w:val="en-US" w:eastAsia="zh-CN"/>
        </w:rPr>
        <w:t>应对项目承诺内容落实情况</w:t>
      </w:r>
      <w:r>
        <w:rPr>
          <w:rFonts w:hint="eastAsia" w:ascii="仿宋_GB2312" w:hAnsi="仿宋_GB2312" w:eastAsia="仿宋_GB2312" w:cs="仿宋_GB2312"/>
          <w:b w:val="0"/>
          <w:bCs w:val="0"/>
          <w:sz w:val="32"/>
          <w:szCs w:val="32"/>
          <w:highlight w:val="none"/>
          <w:lang w:val="en-US" w:eastAsia="zh-CN"/>
        </w:rPr>
        <w:t>定期进行核验</w:t>
      </w:r>
      <w:r>
        <w:rPr>
          <w:rFonts w:hint="default" w:ascii="仿宋_GB2312" w:hAnsi="仿宋_GB2312" w:eastAsia="仿宋_GB2312" w:cs="仿宋_GB2312"/>
          <w:b w:val="0"/>
          <w:bCs w:val="0"/>
          <w:sz w:val="32"/>
          <w:szCs w:val="32"/>
          <w:highlight w:val="none"/>
          <w:lang w:val="en-US" w:eastAsia="zh-CN"/>
        </w:rPr>
        <w:t>。分期建设、投入生产使用的项目,应分期进行节能验收。</w:t>
      </w:r>
    </w:p>
    <w:p w14:paraId="3216B493">
      <w:pPr>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黑体" w:hAnsi="黑体" w:eastAsia="黑体" w:cs="黑体"/>
          <w:b w:val="0"/>
          <w:bCs w:val="0"/>
          <w:sz w:val="32"/>
          <w:szCs w:val="32"/>
          <w:highlight w:val="none"/>
        </w:rPr>
      </w:pPr>
      <w:r>
        <w:rPr>
          <w:rFonts w:hint="default" w:ascii="仿宋_GB2312" w:hAnsi="仿宋_GB2312" w:eastAsia="仿宋_GB2312" w:cs="仿宋_GB2312"/>
          <w:b w:val="0"/>
          <w:bCs w:val="0"/>
          <w:sz w:val="32"/>
          <w:szCs w:val="32"/>
          <w:highlight w:val="none"/>
          <w:lang w:val="en-US" w:eastAsia="zh-CN"/>
        </w:rPr>
        <w:t>未经节能验收或验收不合格的项目,不得投入生产</w:t>
      </w:r>
      <w:r>
        <w:rPr>
          <w:rFonts w:hint="eastAsia" w:ascii="仿宋_GB2312" w:hAnsi="仿宋_GB2312" w:eastAsia="仿宋_GB2312" w:cs="仿宋_GB2312"/>
          <w:b w:val="0"/>
          <w:bCs w:val="0"/>
          <w:sz w:val="32"/>
          <w:szCs w:val="32"/>
          <w:highlight w:val="none"/>
          <w:lang w:val="en-US" w:eastAsia="zh-CN"/>
        </w:rPr>
        <w:t>、</w:t>
      </w:r>
      <w:r>
        <w:rPr>
          <w:rFonts w:hint="default" w:ascii="仿宋_GB2312" w:hAnsi="仿宋_GB2312" w:eastAsia="仿宋_GB2312" w:cs="仿宋_GB2312"/>
          <w:b w:val="0"/>
          <w:bCs w:val="0"/>
          <w:sz w:val="32"/>
          <w:szCs w:val="32"/>
          <w:highlight w:val="none"/>
          <w:lang w:val="en-US" w:eastAsia="zh-CN"/>
        </w:rPr>
        <w:t>使用。</w:t>
      </w:r>
    </w:p>
    <w:p w14:paraId="03633D01">
      <w:pPr>
        <w:pageBreakBefore w:val="0"/>
        <w:kinsoku/>
        <w:wordWrap/>
        <w:overflowPunct/>
        <w:topLinePunct w:val="0"/>
        <w:autoSpaceDE/>
        <w:autoSpaceDN/>
        <w:bidi w:val="0"/>
        <w:adjustRightInd/>
        <w:snapToGrid/>
        <w:spacing w:line="620" w:lineRule="exact"/>
        <w:jc w:val="center"/>
        <w:textAlignment w:val="auto"/>
        <w:rPr>
          <w:rFonts w:hint="eastAsia" w:ascii="仿宋_GB2312" w:hAnsi="仿宋_GB2312" w:eastAsia="仿宋_GB2312" w:cs="仿宋_GB2312"/>
          <w:sz w:val="32"/>
          <w:szCs w:val="32"/>
          <w:highlight w:val="yellow"/>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eastAsia="zh-CN"/>
        </w:rPr>
        <w:t>四</w:t>
      </w:r>
      <w:r>
        <w:rPr>
          <w:rFonts w:hint="eastAsia" w:ascii="黑体" w:hAnsi="黑体" w:eastAsia="黑体" w:cs="黑体"/>
          <w:b w:val="0"/>
          <w:bCs w:val="0"/>
          <w:sz w:val="32"/>
          <w:szCs w:val="32"/>
          <w:highlight w:val="none"/>
        </w:rPr>
        <w:t>章</w:t>
      </w:r>
      <w:r>
        <w:rPr>
          <w:rFonts w:hint="eastAsia" w:ascii="黑体" w:hAnsi="黑体" w:eastAsia="黑体" w:cs="黑体"/>
          <w:b/>
          <w:bCs/>
          <w:sz w:val="32"/>
          <w:szCs w:val="32"/>
          <w:highlight w:val="none"/>
        </w:rPr>
        <w:t xml:space="preserve">  </w:t>
      </w:r>
      <w:r>
        <w:rPr>
          <w:rFonts w:hint="eastAsia" w:ascii="黑体" w:hAnsi="黑体" w:eastAsia="黑体" w:cs="黑体"/>
          <w:bCs/>
          <w:sz w:val="32"/>
          <w:szCs w:val="32"/>
          <w:highlight w:val="none"/>
        </w:rPr>
        <w:t>监督管理</w:t>
      </w:r>
    </w:p>
    <w:p w14:paraId="6509600A">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十九</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固定资产投资项目节能审查应纳入</w:t>
      </w:r>
      <w:r>
        <w:rPr>
          <w:rFonts w:hint="eastAsia" w:ascii="仿宋_GB2312" w:hAnsi="仿宋_GB2312" w:eastAsia="仿宋_GB2312" w:cs="仿宋_GB2312"/>
          <w:sz w:val="32"/>
          <w:szCs w:val="32"/>
          <w:highlight w:val="none"/>
          <w:lang w:eastAsia="zh-CN"/>
        </w:rPr>
        <w:t>辽宁省</w:t>
      </w:r>
      <w:r>
        <w:rPr>
          <w:rFonts w:hint="eastAsia" w:ascii="仿宋_GB2312" w:hAnsi="仿宋_GB2312" w:eastAsia="仿宋_GB2312" w:cs="仿宋_GB2312"/>
          <w:sz w:val="32"/>
          <w:szCs w:val="32"/>
          <w:highlight w:val="none"/>
        </w:rPr>
        <w:t>投资项目在线审批监管平台统一管理，实行网上受理、办理、监管和服务，实现审查过程和结果的可查询、可监督。</w:t>
      </w:r>
      <w:r>
        <w:rPr>
          <w:rFonts w:hint="eastAsia" w:ascii="仿宋_GB2312" w:hAnsi="仿宋_GB2312" w:eastAsia="仿宋_GB2312" w:cs="仿宋_GB2312"/>
          <w:sz w:val="32"/>
          <w:szCs w:val="32"/>
          <w:highlight w:val="none"/>
          <w:lang w:eastAsia="zh-CN"/>
        </w:rPr>
        <w:t>不单独进行节能审查的</w:t>
      </w:r>
      <w:r>
        <w:rPr>
          <w:rFonts w:hint="eastAsia" w:ascii="仿宋_GB2312" w:hAnsi="仿宋_GB2312" w:eastAsia="仿宋_GB2312" w:cs="仿宋_GB2312"/>
          <w:sz w:val="32"/>
          <w:szCs w:val="32"/>
          <w:highlight w:val="none"/>
        </w:rPr>
        <w:t>固定资产投资项目</w:t>
      </w:r>
      <w:r>
        <w:rPr>
          <w:rFonts w:hint="eastAsia" w:ascii="仿宋_GB2312" w:hAnsi="仿宋_GB2312" w:eastAsia="仿宋_GB2312" w:cs="仿宋_GB2312"/>
          <w:sz w:val="32"/>
          <w:szCs w:val="32"/>
          <w:highlight w:val="none"/>
          <w:lang w:eastAsia="zh-CN"/>
        </w:rPr>
        <w:t>应通过投资项目</w:t>
      </w:r>
      <w:r>
        <w:rPr>
          <w:rFonts w:hint="eastAsia" w:ascii="仿宋_GB2312" w:hAnsi="仿宋_GB2312" w:eastAsia="仿宋_GB2312" w:cs="仿宋_GB2312"/>
          <w:sz w:val="32"/>
          <w:szCs w:val="32"/>
          <w:highlight w:val="none"/>
        </w:rPr>
        <w:t>在线审批监管平台</w:t>
      </w:r>
      <w:r>
        <w:rPr>
          <w:rFonts w:hint="eastAsia" w:ascii="仿宋_GB2312" w:hAnsi="仿宋_GB2312" w:eastAsia="仿宋_GB2312" w:cs="仿宋_GB2312"/>
          <w:sz w:val="32"/>
          <w:szCs w:val="32"/>
          <w:highlight w:val="none"/>
          <w:lang w:eastAsia="zh-CN"/>
        </w:rPr>
        <w:t>报送项目能源消费等情况。</w:t>
      </w:r>
    </w:p>
    <w:p w14:paraId="23346F52">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二十</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节能审查机关</w:t>
      </w:r>
      <w:r>
        <w:rPr>
          <w:rFonts w:hint="eastAsia" w:ascii="仿宋_GB2312" w:hAnsi="仿宋_GB2312" w:eastAsia="仿宋_GB2312" w:cs="仿宋_GB2312"/>
          <w:sz w:val="32"/>
          <w:szCs w:val="32"/>
          <w:highlight w:val="none"/>
          <w:lang w:eastAsia="zh-CN"/>
        </w:rPr>
        <w:t>应会同相关行业主管部门强化节能审查</w:t>
      </w:r>
      <w:r>
        <w:rPr>
          <w:rFonts w:hint="eastAsia" w:ascii="仿宋_GB2312" w:hAnsi="仿宋_GB2312" w:eastAsia="仿宋_GB2312" w:cs="仿宋_GB2312"/>
          <w:sz w:val="32"/>
          <w:szCs w:val="32"/>
          <w:highlight w:val="none"/>
        </w:rPr>
        <w:t>事中事后监管</w:t>
      </w:r>
      <w:r>
        <w:rPr>
          <w:rFonts w:hint="eastAsia" w:ascii="仿宋_GB2312" w:hAnsi="仿宋_GB2312" w:eastAsia="仿宋_GB2312" w:cs="仿宋_GB2312"/>
          <w:sz w:val="32"/>
          <w:szCs w:val="32"/>
          <w:highlight w:val="none"/>
          <w:lang w:eastAsia="zh-CN"/>
        </w:rPr>
        <w:t>。各级节能监察机构对项目节能审查意见落实、</w:t>
      </w:r>
      <w:r>
        <w:rPr>
          <w:rFonts w:hint="eastAsia" w:ascii="仿宋_GB2312" w:hAnsi="仿宋_GB2312" w:eastAsia="仿宋_GB2312" w:cs="仿宋_GB2312"/>
          <w:sz w:val="32"/>
          <w:szCs w:val="32"/>
          <w:highlight w:val="none"/>
        </w:rPr>
        <w:t>节能验收</w:t>
      </w:r>
      <w:r>
        <w:rPr>
          <w:rFonts w:hint="eastAsia" w:ascii="仿宋_GB2312" w:hAnsi="仿宋_GB2312" w:eastAsia="仿宋_GB2312" w:cs="仿宋_GB2312"/>
          <w:sz w:val="32"/>
          <w:szCs w:val="32"/>
          <w:highlight w:val="none"/>
          <w:lang w:eastAsia="zh-CN"/>
        </w:rPr>
        <w:t>等情况进行监督检查，应将本行政区域内当年完成节能验收的项目，列入本年度或下一年度节能监察计划，日常监督检查工作应按照“双随机、</w:t>
      </w:r>
      <w:bookmarkStart w:id="0" w:name="_GoBack"/>
      <w:bookmarkEnd w:id="0"/>
      <w:r>
        <w:rPr>
          <w:rFonts w:hint="eastAsia" w:ascii="仿宋_GB2312" w:hAnsi="仿宋_GB2312" w:eastAsia="仿宋_GB2312" w:cs="仿宋_GB2312"/>
          <w:sz w:val="32"/>
          <w:szCs w:val="32"/>
          <w:highlight w:val="none"/>
          <w:lang w:eastAsia="zh-CN"/>
        </w:rPr>
        <w:t>一公开”原则开展</w:t>
      </w:r>
      <w:r>
        <w:rPr>
          <w:rFonts w:hint="eastAsia" w:ascii="仿宋_GB2312" w:hAnsi="仿宋_GB2312" w:eastAsia="仿宋_GB2312" w:cs="仿宋_GB2312"/>
          <w:sz w:val="32"/>
          <w:szCs w:val="32"/>
          <w:highlight w:val="none"/>
        </w:rPr>
        <w:t>。</w:t>
      </w:r>
    </w:p>
    <w:p w14:paraId="6040882E">
      <w:pPr>
        <w:pageBreakBefore w:val="0"/>
        <w:kinsoku/>
        <w:wordWrap/>
        <w:overflowPunct/>
        <w:topLinePunct w:val="0"/>
        <w:autoSpaceDE/>
        <w:autoSpaceDN/>
        <w:bidi w:val="0"/>
        <w:adjustRightInd/>
        <w:snapToGrid/>
        <w:spacing w:line="620" w:lineRule="exact"/>
        <w:ind w:firstLine="640" w:firstLineChars="200"/>
        <w:textAlignment w:val="auto"/>
        <w:rPr>
          <w:rFonts w:hint="eastAsia" w:ascii="黑体" w:hAnsi="黑体" w:eastAsia="黑体" w:cs="黑体"/>
          <w:sz w:val="32"/>
          <w:szCs w:val="32"/>
          <w:highlight w:val="none"/>
          <w:lang w:val="en-US" w:eastAsia="zh-CN"/>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一</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管理节能工作的部门要依法依规履行节能监督管理职责,将节能审查实施情况作为节能监察的重点内容。各级管理节能工作的部门应加强节能审查信息的统计分析,定期调度已投产项目能源消费、能效水平等情况,作为研判节能形势、开展节能工作的重要参考。</w:t>
      </w:r>
      <w:r>
        <w:rPr>
          <w:rFonts w:hint="eastAsia" w:ascii="仿宋_GB2312" w:hAnsi="仿宋_GB2312" w:eastAsia="仿宋_GB2312" w:cs="仿宋_GB2312"/>
          <w:sz w:val="32"/>
          <w:szCs w:val="32"/>
          <w:highlight w:val="none"/>
          <w:lang w:eastAsia="zh-CN"/>
        </w:rPr>
        <w:t>县</w:t>
      </w:r>
      <w:r>
        <w:rPr>
          <w:rFonts w:hint="eastAsia" w:ascii="仿宋_GB2312" w:hAnsi="仿宋_GB2312" w:eastAsia="仿宋_GB2312" w:cs="仿宋_GB2312"/>
          <w:sz w:val="32"/>
          <w:szCs w:val="32"/>
          <w:highlight w:val="none"/>
        </w:rPr>
        <w:t>级节能主管部门应每季度向</w:t>
      </w:r>
      <w:r>
        <w:rPr>
          <w:rFonts w:hint="eastAsia" w:ascii="仿宋_GB2312" w:hAnsi="仿宋_GB2312" w:eastAsia="仿宋_GB2312" w:cs="仿宋_GB2312"/>
          <w:sz w:val="32"/>
          <w:szCs w:val="32"/>
          <w:highlight w:val="none"/>
          <w:lang w:eastAsia="zh-CN"/>
        </w:rPr>
        <w:t>市级节能主管部门</w:t>
      </w:r>
      <w:r>
        <w:rPr>
          <w:rFonts w:hint="eastAsia" w:ascii="仿宋_GB2312" w:hAnsi="仿宋_GB2312" w:eastAsia="仿宋_GB2312" w:cs="仿宋_GB2312"/>
          <w:sz w:val="32"/>
          <w:szCs w:val="32"/>
          <w:highlight w:val="none"/>
        </w:rPr>
        <w:t>报送本地区节能审</w:t>
      </w:r>
      <w:r>
        <w:rPr>
          <w:rFonts w:hint="eastAsia" w:ascii="仿宋_GB2312" w:hAnsi="仿宋_GB2312" w:eastAsia="仿宋_GB2312" w:cs="仿宋_GB2312"/>
          <w:sz w:val="32"/>
          <w:szCs w:val="32"/>
          <w:highlight w:val="none"/>
          <w:lang w:eastAsia="zh-CN"/>
        </w:rPr>
        <w:t>查</w:t>
      </w:r>
      <w:r>
        <w:rPr>
          <w:rFonts w:hint="eastAsia" w:ascii="仿宋_GB2312" w:hAnsi="仿宋_GB2312" w:eastAsia="仿宋_GB2312" w:cs="仿宋_GB2312"/>
          <w:sz w:val="32"/>
          <w:szCs w:val="32"/>
          <w:highlight w:val="none"/>
        </w:rPr>
        <w:t>实施情况,按要求报送项目节能审查信息和已投产项目调度数据。</w:t>
      </w:r>
      <w:r>
        <w:rPr>
          <w:rFonts w:hint="eastAsia" w:ascii="仿宋_GB2312" w:hAnsi="仿宋_GB2312" w:eastAsia="仿宋_GB2312" w:cs="仿宋_GB2312"/>
          <w:sz w:val="32"/>
          <w:szCs w:val="32"/>
          <w:highlight w:val="none"/>
          <w:lang w:eastAsia="zh-CN"/>
        </w:rPr>
        <w:t>市级节能主管部门</w:t>
      </w:r>
      <w:r>
        <w:rPr>
          <w:rFonts w:hint="eastAsia" w:ascii="仿宋_GB2312" w:hAnsi="仿宋_GB2312" w:eastAsia="仿宋_GB2312" w:cs="仿宋_GB2312"/>
          <w:sz w:val="32"/>
          <w:szCs w:val="32"/>
          <w:highlight w:val="none"/>
        </w:rPr>
        <w:t>对重大项目节能审查意见落实情况进行不定期抽查,检查抽查结果作为节能目标责任评价考核的重要内容。</w:t>
      </w:r>
    </w:p>
    <w:p w14:paraId="19D8BCA3">
      <w:pPr>
        <w:pageBreakBefore w:val="0"/>
        <w:numPr>
          <w:ilvl w:val="0"/>
          <w:numId w:val="0"/>
        </w:numPr>
        <w:kinsoku/>
        <w:wordWrap/>
        <w:overflowPunct/>
        <w:topLinePunct w:val="0"/>
        <w:autoSpaceDE/>
        <w:autoSpaceDN/>
        <w:bidi w:val="0"/>
        <w:adjustRightInd/>
        <w:snapToGrid/>
        <w:spacing w:line="620" w:lineRule="exact"/>
        <w:jc w:val="center"/>
        <w:textAlignment w:val="auto"/>
        <w:rPr>
          <w:rFonts w:hint="default" w:ascii="仿宋_GB2312" w:hAnsi="仿宋_GB2312" w:eastAsia="仿宋_GB2312" w:cs="仿宋_GB2312"/>
          <w:sz w:val="32"/>
          <w:szCs w:val="32"/>
          <w:highlight w:val="none"/>
          <w:lang w:val="en-US" w:eastAsia="zh-CN"/>
        </w:rPr>
      </w:pPr>
      <w:r>
        <w:rPr>
          <w:rFonts w:hint="eastAsia" w:ascii="黑体" w:hAnsi="黑体" w:eastAsia="黑体" w:cs="黑体"/>
          <w:sz w:val="32"/>
          <w:szCs w:val="32"/>
          <w:highlight w:val="none"/>
          <w:lang w:val="en-US" w:eastAsia="zh-CN"/>
        </w:rPr>
        <w:t>第五章 法律责任</w:t>
      </w:r>
    </w:p>
    <w:p w14:paraId="43EF9337">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二十二</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对未按本办法规定进行节能审查，或节能审查未获通过，擅自开工建设</w:t>
      </w:r>
      <w:r>
        <w:rPr>
          <w:rFonts w:hint="eastAsia" w:ascii="仿宋_GB2312" w:hAnsi="仿宋_GB2312" w:eastAsia="仿宋_GB2312" w:cs="仿宋_GB2312"/>
          <w:sz w:val="32"/>
          <w:szCs w:val="32"/>
          <w:highlight w:val="none"/>
          <w:lang w:eastAsia="zh-CN"/>
        </w:rPr>
        <w:t>或</w:t>
      </w:r>
      <w:r>
        <w:rPr>
          <w:rFonts w:hint="eastAsia" w:ascii="仿宋_GB2312" w:hAnsi="仿宋_GB2312" w:eastAsia="仿宋_GB2312" w:cs="仿宋_GB2312"/>
          <w:sz w:val="32"/>
          <w:szCs w:val="32"/>
          <w:highlight w:val="none"/>
        </w:rPr>
        <w:t>擅自投入生产、使用的固定资产投资项目，由节能审查机关责令停止建设或停止生产、使用，限期</w:t>
      </w:r>
      <w:r>
        <w:rPr>
          <w:rFonts w:hint="eastAsia" w:ascii="仿宋_GB2312" w:hAnsi="仿宋_GB2312" w:eastAsia="仿宋_GB2312" w:cs="仿宋_GB2312"/>
          <w:sz w:val="32"/>
          <w:szCs w:val="32"/>
          <w:highlight w:val="none"/>
          <w:lang w:eastAsia="zh-CN"/>
        </w:rPr>
        <w:t>整改，并对建设单位进行通报批评，视情节处</w:t>
      </w:r>
      <w:r>
        <w:rPr>
          <w:rFonts w:hint="eastAsia" w:ascii="仿宋_GB2312" w:hAnsi="仿宋_GB2312" w:eastAsia="仿宋_GB2312" w:cs="仿宋_GB2312"/>
          <w:sz w:val="32"/>
          <w:szCs w:val="32"/>
          <w:highlight w:val="none"/>
          <w:lang w:val="en-US" w:eastAsia="zh-CN"/>
        </w:rPr>
        <w:t>10万元以下罚款。</w:t>
      </w:r>
    </w:p>
    <w:p w14:paraId="5725B08C">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经</w:t>
      </w:r>
      <w:r>
        <w:rPr>
          <w:rFonts w:hint="eastAsia" w:ascii="仿宋_GB2312" w:hAnsi="仿宋_GB2312" w:eastAsia="仿宋_GB2312" w:cs="仿宋_GB2312"/>
          <w:sz w:val="32"/>
          <w:szCs w:val="32"/>
          <w:highlight w:val="none"/>
        </w:rPr>
        <w:t>节能审查机关</w:t>
      </w:r>
      <w:r>
        <w:rPr>
          <w:rFonts w:hint="eastAsia" w:ascii="仿宋_GB2312" w:hAnsi="仿宋_GB2312" w:eastAsia="仿宋_GB2312" w:cs="仿宋_GB2312"/>
          <w:sz w:val="32"/>
          <w:szCs w:val="32"/>
          <w:highlight w:val="none"/>
          <w:lang w:eastAsia="zh-CN"/>
        </w:rPr>
        <w:t>认定完成整改的项目，节能审查机关可依据实际情况出具整改完成证明。</w:t>
      </w:r>
    </w:p>
    <w:p w14:paraId="1730F8F1">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不能</w:t>
      </w:r>
      <w:r>
        <w:rPr>
          <w:rFonts w:hint="eastAsia" w:ascii="仿宋_GB2312" w:hAnsi="仿宋_GB2312" w:eastAsia="仿宋_GB2312" w:cs="仿宋_GB2312"/>
          <w:sz w:val="32"/>
          <w:szCs w:val="32"/>
          <w:highlight w:val="none"/>
          <w:lang w:eastAsia="zh-CN"/>
        </w:rPr>
        <w:t>整改</w:t>
      </w:r>
      <w:r>
        <w:rPr>
          <w:rFonts w:hint="eastAsia" w:ascii="仿宋_GB2312" w:hAnsi="仿宋_GB2312" w:eastAsia="仿宋_GB2312" w:cs="仿宋_GB2312"/>
          <w:sz w:val="32"/>
          <w:szCs w:val="32"/>
          <w:highlight w:val="none"/>
        </w:rPr>
        <w:t>或逾期不</w:t>
      </w:r>
      <w:r>
        <w:rPr>
          <w:rFonts w:hint="eastAsia" w:ascii="仿宋_GB2312" w:hAnsi="仿宋_GB2312" w:eastAsia="仿宋_GB2312" w:cs="仿宋_GB2312"/>
          <w:sz w:val="32"/>
          <w:szCs w:val="32"/>
          <w:highlight w:val="none"/>
          <w:lang w:eastAsia="zh-CN"/>
        </w:rPr>
        <w:t>整改</w:t>
      </w:r>
      <w:r>
        <w:rPr>
          <w:rFonts w:hint="eastAsia" w:ascii="仿宋_GB2312" w:hAnsi="仿宋_GB2312" w:eastAsia="仿宋_GB2312" w:cs="仿宋_GB2312"/>
          <w:sz w:val="32"/>
          <w:szCs w:val="32"/>
          <w:highlight w:val="none"/>
        </w:rPr>
        <w:t>的生产性项目，由节能审查机关提请</w:t>
      </w:r>
      <w:r>
        <w:rPr>
          <w:rFonts w:hint="eastAsia" w:ascii="仿宋_GB2312" w:hAnsi="仿宋_GB2312" w:eastAsia="仿宋_GB2312" w:cs="仿宋_GB2312"/>
          <w:sz w:val="32"/>
          <w:szCs w:val="32"/>
          <w:highlight w:val="none"/>
          <w:lang w:eastAsia="zh-CN"/>
        </w:rPr>
        <w:t>本</w:t>
      </w:r>
      <w:r>
        <w:rPr>
          <w:rFonts w:hint="eastAsia" w:ascii="仿宋_GB2312" w:hAnsi="仿宋_GB2312" w:eastAsia="仿宋_GB2312" w:cs="仿宋_GB2312"/>
          <w:sz w:val="32"/>
          <w:szCs w:val="32"/>
          <w:highlight w:val="none"/>
        </w:rPr>
        <w:t>级人民政府按照国务院规定的权限责令关闭，并依法追究有关责任人的责任。</w:t>
      </w:r>
    </w:p>
    <w:p w14:paraId="79ED1591">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二十三</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sz w:val="32"/>
          <w:szCs w:val="32"/>
          <w:highlight w:val="none"/>
        </w:rPr>
        <w:t>以拆分项目、提供虚假材料等不正当手段，通过节能审查的固定资产投资项目，由节能审查机关撤销项目的节能审查意见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以不正当手段逃避节能审查的固定资产投资项目,由节能审查机关按程序进行节能审</w:t>
      </w:r>
      <w:r>
        <w:rPr>
          <w:rFonts w:hint="eastAsia" w:ascii="仿宋_GB2312" w:hAnsi="仿宋_GB2312" w:eastAsia="仿宋_GB2312" w:cs="仿宋_GB2312"/>
          <w:sz w:val="32"/>
          <w:szCs w:val="32"/>
          <w:highlight w:val="none"/>
          <w:lang w:eastAsia="zh-CN"/>
        </w:rPr>
        <w:t>查</w:t>
      </w:r>
      <w:r>
        <w:rPr>
          <w:rFonts w:hint="eastAsia" w:ascii="仿宋_GB2312" w:hAnsi="仿宋_GB2312" w:eastAsia="仿宋_GB2312" w:cs="仿宋_GB2312"/>
          <w:sz w:val="32"/>
          <w:szCs w:val="32"/>
          <w:highlight w:val="none"/>
        </w:rPr>
        <w:t>。项目已开工建设或</w:t>
      </w:r>
      <w:r>
        <w:rPr>
          <w:rFonts w:hint="eastAsia" w:ascii="仿宋_GB2312" w:hAnsi="仿宋_GB2312" w:eastAsia="仿宋_GB2312" w:cs="仿宋_GB2312"/>
          <w:sz w:val="32"/>
          <w:szCs w:val="32"/>
          <w:highlight w:val="none"/>
          <w:lang w:eastAsia="zh-CN"/>
        </w:rPr>
        <w:t>投入</w:t>
      </w:r>
      <w:r>
        <w:rPr>
          <w:rFonts w:hint="eastAsia" w:ascii="仿宋_GB2312" w:hAnsi="仿宋_GB2312" w:eastAsia="仿宋_GB2312" w:cs="仿宋_GB2312"/>
          <w:sz w:val="32"/>
          <w:szCs w:val="32"/>
          <w:highlight w:val="none"/>
        </w:rPr>
        <w:t>生产、使用的,按本办法第二十</w:t>
      </w: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highlight w:val="none"/>
        </w:rPr>
        <w:t>条有关规定进行处罚。</w:t>
      </w:r>
    </w:p>
    <w:p w14:paraId="37637DD0">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四</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未落实节能审查意见要求的固定资产投资项目,由节能审查机关责令建设单位限期整改。不能整改或逾期不整改的,由节能审查机关按照法律法规的有关规定进行处罚。</w:t>
      </w:r>
    </w:p>
    <w:p w14:paraId="43A5B7CA">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五</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未按本办法规定进行节能验收或验收不合格,擅自投入生产、使用的固定资产投资项目,以及以提供虚假材料等不正当手段通过节能验收的固定资产投资项目,由节能审查机关责令建设单位限期整改,并处3万元以上</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万元以下罚款。</w:t>
      </w:r>
    </w:p>
    <w:p w14:paraId="5B87E5E2">
      <w:pPr>
        <w:pageBreakBefore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六</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从事节能咨询、评审等节能服务的机构提供节能审查虚假信息的,由管理节能工作的部门责令改正,没收违法所得,并处5万元以上10万元以下罚款。</w:t>
      </w:r>
      <w:r>
        <w:rPr>
          <w:rFonts w:hint="eastAsia" w:ascii="仿宋_GB2312" w:hAnsi="仿宋_GB2312" w:eastAsia="仿宋_GB2312" w:cs="仿宋_GB2312"/>
          <w:sz w:val="32"/>
          <w:szCs w:val="32"/>
          <w:highlight w:val="none"/>
          <w:lang w:eastAsia="zh-CN"/>
        </w:rPr>
        <w:t>节能咨询、评审等节能服务机构在编制、评审及验收过程中提出的节能报告、节能评审意见、验收意见严重失实的，一经查实，本市各级节能审查部门</w:t>
      </w:r>
      <w:r>
        <w:rPr>
          <w:rFonts w:hint="eastAsia" w:ascii="仿宋_GB2312" w:hAnsi="仿宋_GB2312" w:eastAsia="仿宋_GB2312" w:cs="仿宋_GB2312"/>
          <w:sz w:val="32"/>
          <w:szCs w:val="32"/>
          <w:highlight w:val="none"/>
          <w:lang w:val="en-US" w:eastAsia="zh-CN"/>
        </w:rPr>
        <w:t>3年内不得委托该机构从事节能评估和审查相关工作，并抄报省级和省内各市节能审查部门。</w:t>
      </w:r>
    </w:p>
    <w:p w14:paraId="43C76FC3">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七</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lang w:val="en-US" w:eastAsia="zh-CN"/>
        </w:rPr>
        <w:t xml:space="preserve"> 节能审查机关</w:t>
      </w:r>
      <w:r>
        <w:rPr>
          <w:rFonts w:hint="eastAsia" w:ascii="仿宋_GB2312" w:hAnsi="仿宋_GB2312" w:eastAsia="仿宋_GB2312" w:cs="仿宋_GB2312"/>
          <w:sz w:val="32"/>
          <w:szCs w:val="32"/>
          <w:highlight w:val="none"/>
        </w:rPr>
        <w:t>对建设单位、中介机构等的违法违规行为进行记录,将违法违规信息纳入</w:t>
      </w:r>
      <w:r>
        <w:rPr>
          <w:rFonts w:hint="eastAsia" w:ascii="仿宋_GB2312" w:hAnsi="仿宋_GB2312" w:eastAsia="仿宋_GB2312" w:cs="仿宋_GB2312"/>
          <w:color w:val="auto"/>
          <w:sz w:val="32"/>
          <w:szCs w:val="32"/>
          <w:highlight w:val="none"/>
          <w:lang w:eastAsia="zh-CN"/>
        </w:rPr>
        <w:t>公共</w:t>
      </w:r>
      <w:r>
        <w:rPr>
          <w:rFonts w:hint="eastAsia" w:ascii="仿宋_GB2312" w:hAnsi="仿宋_GB2312" w:eastAsia="仿宋_GB2312" w:cs="仿宋_GB2312"/>
          <w:color w:val="auto"/>
          <w:sz w:val="32"/>
          <w:szCs w:val="32"/>
          <w:highlight w:val="none"/>
        </w:rPr>
        <w:t>信用信息平台和投资项目审批监管平台,在“信用葫芦岛”</w:t>
      </w:r>
      <w:r>
        <w:rPr>
          <w:rFonts w:hint="eastAsia" w:ascii="仿宋_GB2312" w:hAnsi="仿宋_GB2312" w:eastAsia="仿宋_GB2312" w:cs="仿宋_GB2312"/>
          <w:sz w:val="32"/>
          <w:szCs w:val="32"/>
          <w:highlight w:val="none"/>
        </w:rPr>
        <w:t>等网站向社会公开。对列入严重失信主体名单的,依法依规实施联合惩戒措施。</w:t>
      </w:r>
    </w:p>
    <w:p w14:paraId="18FC491B">
      <w:pPr>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八</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sz w:val="32"/>
          <w:szCs w:val="32"/>
          <w:highlight w:val="none"/>
        </w:rPr>
        <w:t>负责审批政府投资项目的工作人员,对未进行节能审查或节能审查未获通过的项目,违反本办法规定予以批准的,依法给予处分。</w:t>
      </w:r>
    </w:p>
    <w:p w14:paraId="5EB39679">
      <w:pPr>
        <w:pageBreakBefore w:val="0"/>
        <w:kinsoku/>
        <w:wordWrap/>
        <w:overflowPunct/>
        <w:topLinePunct w:val="0"/>
        <w:autoSpaceDE/>
        <w:autoSpaceDN/>
        <w:bidi w:val="0"/>
        <w:adjustRightInd/>
        <w:snapToGrid/>
        <w:spacing w:line="620" w:lineRule="exact"/>
        <w:ind w:firstLine="640" w:firstLineChars="200"/>
        <w:textAlignment w:val="auto"/>
        <w:rPr>
          <w:rFonts w:hint="eastAsia" w:ascii="黑体" w:hAnsi="黑体" w:eastAsia="黑体" w:cs="黑体"/>
          <w:bCs/>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九</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lang w:val="en-US" w:eastAsia="zh-CN"/>
        </w:rPr>
        <w:t xml:space="preserve"> 节能审查机关</w:t>
      </w:r>
      <w:r>
        <w:rPr>
          <w:rFonts w:hint="eastAsia" w:ascii="仿宋_GB2312" w:hAnsi="仿宋_GB2312" w:eastAsia="仿宋_GB2312" w:cs="仿宋_GB2312"/>
          <w:sz w:val="32"/>
          <w:szCs w:val="32"/>
          <w:highlight w:val="none"/>
        </w:rPr>
        <w:t>、节能评审机构工作人员以及其他参与评审的有关人员在节能评审中存在违纪违法行为,依法给予处分,构成犯罪的依法追究刑事责任。</w:t>
      </w:r>
    </w:p>
    <w:p w14:paraId="6AAC230C">
      <w:pPr>
        <w:pageBreakBefore w:val="0"/>
        <w:kinsoku/>
        <w:wordWrap/>
        <w:overflowPunct/>
        <w:topLinePunct w:val="0"/>
        <w:autoSpaceDE/>
        <w:autoSpaceDN/>
        <w:bidi w:val="0"/>
        <w:adjustRightInd/>
        <w:snapToGrid/>
        <w:spacing w:line="620" w:lineRule="exact"/>
        <w:jc w:val="center"/>
        <w:textAlignment w:val="auto"/>
        <w:rPr>
          <w:rFonts w:hint="eastAsia" w:ascii="仿宋_GB2312" w:hAnsi="仿宋_GB2312" w:eastAsia="仿宋_GB2312" w:cs="仿宋_GB2312"/>
          <w:bCs/>
          <w:sz w:val="32"/>
          <w:szCs w:val="32"/>
          <w:highlight w:val="yellow"/>
        </w:rPr>
      </w:pPr>
      <w:r>
        <w:rPr>
          <w:rFonts w:hint="eastAsia" w:ascii="黑体" w:hAnsi="黑体" w:eastAsia="黑体" w:cs="黑体"/>
          <w:bCs/>
          <w:sz w:val="32"/>
          <w:szCs w:val="32"/>
          <w:highlight w:val="none"/>
        </w:rPr>
        <w:t>第</w:t>
      </w:r>
      <w:r>
        <w:rPr>
          <w:rFonts w:hint="eastAsia" w:ascii="黑体" w:hAnsi="黑体" w:eastAsia="黑体" w:cs="黑体"/>
          <w:bCs/>
          <w:sz w:val="32"/>
          <w:szCs w:val="32"/>
          <w:highlight w:val="none"/>
          <w:lang w:eastAsia="zh-CN"/>
        </w:rPr>
        <w:t>六</w:t>
      </w:r>
      <w:r>
        <w:rPr>
          <w:rFonts w:hint="eastAsia" w:ascii="黑体" w:hAnsi="黑体" w:eastAsia="黑体" w:cs="黑体"/>
          <w:bCs/>
          <w:sz w:val="32"/>
          <w:szCs w:val="32"/>
          <w:highlight w:val="none"/>
        </w:rPr>
        <w:t>章  附则</w:t>
      </w:r>
    </w:p>
    <w:p w14:paraId="750AB2EE">
      <w:pPr>
        <w:pageBreakBefore w:val="0"/>
        <w:kinsoku/>
        <w:wordWrap/>
        <w:overflowPunct/>
        <w:topLinePunct w:val="0"/>
        <w:autoSpaceDE/>
        <w:autoSpaceDN/>
        <w:bidi w:val="0"/>
        <w:adjustRightInd/>
        <w:snapToGrid/>
        <w:spacing w:line="620" w:lineRule="exact"/>
        <w:ind w:firstLine="579" w:firstLineChars="181"/>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三十</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本办法由葫芦岛市发展和改革委员会负责解释。</w:t>
      </w:r>
    </w:p>
    <w:p w14:paraId="30BBFDBF">
      <w:pPr>
        <w:pageBreakBefore w:val="0"/>
        <w:kinsoku/>
        <w:wordWrap/>
        <w:overflowPunct/>
        <w:topLinePunct w:val="0"/>
        <w:autoSpaceDE/>
        <w:autoSpaceDN/>
        <w:bidi w:val="0"/>
        <w:adjustRightInd/>
        <w:snapToGrid/>
        <w:spacing w:line="620" w:lineRule="exact"/>
        <w:ind w:firstLine="579" w:firstLineChars="181"/>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三十一</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本办法自</w:t>
      </w:r>
      <w:r>
        <w:rPr>
          <w:rFonts w:hint="eastAsia" w:ascii="仿宋_GB2312" w:hAnsi="仿宋_GB2312" w:eastAsia="仿宋_GB2312" w:cs="仿宋_GB2312"/>
          <w:sz w:val="32"/>
          <w:szCs w:val="32"/>
          <w:highlight w:val="none"/>
          <w:lang w:eastAsia="zh-CN"/>
        </w:rPr>
        <w:t>印发之日</w:t>
      </w:r>
      <w:r>
        <w:rPr>
          <w:rFonts w:hint="eastAsia" w:ascii="仿宋_GB2312" w:hAnsi="仿宋_GB2312" w:eastAsia="仿宋_GB2312" w:cs="仿宋_GB2312"/>
          <w:sz w:val="32"/>
          <w:szCs w:val="32"/>
          <w:highlight w:val="none"/>
        </w:rPr>
        <w:t>起实施。原《葫芦岛市固定资产投资项目节能审查实施办法》（葫发改</w:t>
      </w:r>
      <w:r>
        <w:rPr>
          <w:rFonts w:hint="eastAsia" w:ascii="仿宋_GB2312" w:hAnsi="仿宋_GB2312" w:eastAsia="仿宋_GB2312" w:cs="仿宋_GB2312"/>
          <w:sz w:val="32"/>
          <w:szCs w:val="32"/>
          <w:highlight w:val="none"/>
          <w:lang w:eastAsia="zh-CN"/>
        </w:rPr>
        <w:t>发</w:t>
      </w:r>
      <w:r>
        <w:rPr>
          <w:rFonts w:hint="eastAsia" w:ascii="仿宋_GB2312" w:hAnsi="仿宋_GB2312" w:eastAsia="仿宋_GB2312" w:cs="仿宋_GB2312"/>
          <w:sz w:val="32"/>
          <w:szCs w:val="32"/>
          <w:highlight w:val="none"/>
        </w:rPr>
        <w:t>〔201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207</w:t>
      </w:r>
      <w:r>
        <w:rPr>
          <w:rFonts w:hint="eastAsia" w:ascii="仿宋_GB2312" w:hAnsi="仿宋_GB2312" w:eastAsia="仿宋_GB2312" w:cs="仿宋_GB2312"/>
          <w:sz w:val="32"/>
          <w:szCs w:val="32"/>
          <w:highlight w:val="none"/>
        </w:rPr>
        <w:t>号）同时废止。</w:t>
      </w:r>
    </w:p>
    <w:p w14:paraId="1CEFFADA">
      <w:pPr>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br w:type="page"/>
      </w:r>
    </w:p>
    <w:p w14:paraId="64563C08">
      <w:pPr>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highlight w:val="yellow"/>
          <w:lang w:eastAsia="zh-CN"/>
        </w:rPr>
      </w:pPr>
      <w:r>
        <w:rPr>
          <w:rFonts w:hint="eastAsia" w:ascii="仿宋_GB2312" w:hAnsi="仿宋_GB2312" w:eastAsia="仿宋_GB2312" w:cs="仿宋_GB2312"/>
          <w:sz w:val="32"/>
          <w:szCs w:val="32"/>
          <w:highlight w:val="none"/>
        </w:rPr>
        <w:t>附件</w:t>
      </w:r>
      <w:r>
        <w:rPr>
          <w:rFonts w:hint="eastAsia" w:ascii="仿宋_GB2312" w:hAnsi="仿宋_GB2312" w:eastAsia="仿宋_GB2312" w:cs="仿宋_GB2312"/>
          <w:sz w:val="32"/>
          <w:szCs w:val="32"/>
          <w:highlight w:val="none"/>
          <w:lang w:eastAsia="zh-CN"/>
        </w:rPr>
        <w:t>：</w:t>
      </w:r>
    </w:p>
    <w:p w14:paraId="787FD210">
      <w:pPr>
        <w:pageBreakBefore w:val="0"/>
        <w:kinsoku/>
        <w:wordWrap w:val="0"/>
        <w:overflowPunct/>
        <w:topLinePunct w:val="0"/>
        <w:autoSpaceDE/>
        <w:autoSpaceDN/>
        <w:bidi w:val="0"/>
        <w:adjustRightInd/>
        <w:snapToGrid/>
        <w:spacing w:line="620" w:lineRule="exact"/>
        <w:jc w:val="righ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lang w:eastAsia="zh-CN"/>
        </w:rPr>
        <w:t>备案编号：</w:t>
      </w:r>
      <w:r>
        <w:rPr>
          <w:rFonts w:hint="eastAsia" w:ascii="仿宋_GB2312" w:hAnsi="仿宋_GB2312" w:eastAsia="仿宋_GB2312" w:cs="仿宋_GB2312"/>
          <w:sz w:val="28"/>
          <w:szCs w:val="28"/>
          <w:highlight w:val="none"/>
          <w:lang w:val="en-US" w:eastAsia="zh-CN"/>
        </w:rPr>
        <w:t>（发改部门盖章）</w:t>
      </w:r>
    </w:p>
    <w:p w14:paraId="7417BC1F">
      <w:pPr>
        <w:pageBreakBefore w:val="0"/>
        <w:kinsoku/>
        <w:wordWrap/>
        <w:overflowPunct/>
        <w:topLinePunct w:val="0"/>
        <w:autoSpaceDE/>
        <w:autoSpaceDN/>
        <w:bidi w:val="0"/>
        <w:adjustRightInd/>
        <w:snapToGrid/>
        <w:spacing w:line="620" w:lineRule="exact"/>
        <w:jc w:val="right"/>
        <w:textAlignment w:val="auto"/>
        <w:rPr>
          <w:rFonts w:hint="eastAsia" w:ascii="仿宋_GB2312" w:hAnsi="仿宋_GB2312" w:eastAsia="仿宋_GB2312" w:cs="仿宋_GB2312"/>
          <w:sz w:val="28"/>
          <w:szCs w:val="28"/>
          <w:highlight w:val="none"/>
          <w:lang w:val="en-US" w:eastAsia="zh-CN"/>
        </w:rPr>
      </w:pPr>
    </w:p>
    <w:p w14:paraId="588832C4">
      <w:pPr>
        <w:pStyle w:val="2"/>
        <w:keepNext/>
        <w:keepLines/>
        <w:pageBreakBefore w:val="0"/>
        <w:widowControl w:val="0"/>
        <w:kinsoku/>
        <w:wordWrap/>
        <w:overflowPunct/>
        <w:topLinePunct w:val="0"/>
        <w:autoSpaceDE/>
        <w:autoSpaceDN/>
        <w:bidi w:val="0"/>
        <w:adjustRightInd/>
        <w:snapToGrid/>
        <w:spacing w:before="0" w:beforeLines="0" w:after="0" w:afterLines="0" w:line="480" w:lineRule="exact"/>
        <w:jc w:val="center"/>
        <w:textAlignment w:val="auto"/>
        <w:rPr>
          <w:rFonts w:hint="eastAsia"/>
          <w:highlight w:val="none"/>
          <w:lang w:val="en-US" w:eastAsia="zh-CN"/>
        </w:rPr>
      </w:pPr>
      <w:r>
        <w:rPr>
          <w:rFonts w:hint="eastAsia"/>
          <w:highlight w:val="none"/>
          <w:lang w:val="en-US" w:eastAsia="zh-CN"/>
        </w:rPr>
        <w:t>固定资产投资项目能耗说明和节能承诺</w:t>
      </w:r>
    </w:p>
    <w:p w14:paraId="266E4580">
      <w:pPr>
        <w:pageBreakBefore w:val="0"/>
        <w:widowControl w:val="0"/>
        <w:kinsoku/>
        <w:wordWrap/>
        <w:overflowPunct/>
        <w:topLinePunct w:val="0"/>
        <w:autoSpaceDE/>
        <w:autoSpaceDN/>
        <w:bidi w:val="0"/>
        <w:adjustRightInd/>
        <w:snapToGrid/>
        <w:spacing w:line="480" w:lineRule="exact"/>
        <w:textAlignment w:val="auto"/>
        <w:rPr>
          <w:rFonts w:hint="eastAsia"/>
          <w:highlight w:val="none"/>
          <w:lang w:val="en-US" w:eastAsia="zh-CN"/>
        </w:rPr>
      </w:pPr>
    </w:p>
    <w:p w14:paraId="428E5B1A">
      <w:pPr>
        <w:pageBreakBefore w:val="0"/>
        <w:widowControl w:val="0"/>
        <w:kinsoku/>
        <w:wordWrap/>
        <w:overflowPunct/>
        <w:topLinePunct w:val="0"/>
        <w:autoSpaceDE/>
        <w:autoSpaceDN/>
        <w:bidi w:val="0"/>
        <w:adjustRightInd/>
        <w:snapToGrid/>
        <w:spacing w:line="480" w:lineRule="exact"/>
        <w:textAlignment w:val="auto"/>
        <w:rPr>
          <w:rFonts w:hint="default"/>
          <w:highlight w:val="none"/>
          <w:lang w:val="en-US" w:eastAsia="zh-CN"/>
        </w:rPr>
      </w:pPr>
      <w:r>
        <w:rPr>
          <w:rFonts w:hint="eastAsia"/>
          <w:highlight w:val="none"/>
          <w:lang w:val="en-US" w:eastAsia="zh-CN"/>
        </w:rPr>
        <w:t>项目名称：                          填表日期：        年   月   日</w:t>
      </w:r>
    </w:p>
    <w:tbl>
      <w:tblPr>
        <w:tblStyle w:val="11"/>
        <w:tblW w:w="9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
        <w:gridCol w:w="1646"/>
        <w:gridCol w:w="2127"/>
        <w:gridCol w:w="1559"/>
        <w:gridCol w:w="1843"/>
        <w:gridCol w:w="1861"/>
      </w:tblGrid>
      <w:tr w14:paraId="19ACD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48" w:type="dxa"/>
            <w:vMerge w:val="restart"/>
            <w:noWrap w:val="0"/>
            <w:vAlign w:val="center"/>
          </w:tcPr>
          <w:p w14:paraId="6B9C7B77">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项目概况</w:t>
            </w:r>
          </w:p>
        </w:tc>
        <w:tc>
          <w:tcPr>
            <w:tcW w:w="1646" w:type="dxa"/>
            <w:noWrap w:val="0"/>
            <w:vAlign w:val="center"/>
          </w:tcPr>
          <w:p w14:paraId="45D32048">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项目建设单位</w:t>
            </w:r>
          </w:p>
        </w:tc>
        <w:tc>
          <w:tcPr>
            <w:tcW w:w="3686" w:type="dxa"/>
            <w:gridSpan w:val="2"/>
            <w:noWrap w:val="0"/>
            <w:vAlign w:val="center"/>
          </w:tcPr>
          <w:p w14:paraId="0A116B9F">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(盖章)</w:t>
            </w:r>
          </w:p>
        </w:tc>
        <w:tc>
          <w:tcPr>
            <w:tcW w:w="1843" w:type="dxa"/>
            <w:noWrap w:val="0"/>
            <w:vAlign w:val="center"/>
          </w:tcPr>
          <w:p w14:paraId="5DE5C800">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建设地点</w:t>
            </w:r>
          </w:p>
        </w:tc>
        <w:tc>
          <w:tcPr>
            <w:tcW w:w="1861" w:type="dxa"/>
            <w:noWrap w:val="0"/>
            <w:vAlign w:val="center"/>
          </w:tcPr>
          <w:p w14:paraId="197CA92A">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r>
      <w:tr w14:paraId="51917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6627E138">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4603E094">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单位负责人</w:t>
            </w:r>
          </w:p>
        </w:tc>
        <w:tc>
          <w:tcPr>
            <w:tcW w:w="3686" w:type="dxa"/>
            <w:gridSpan w:val="2"/>
            <w:noWrap w:val="0"/>
            <w:vAlign w:val="center"/>
          </w:tcPr>
          <w:p w14:paraId="29D07515">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843" w:type="dxa"/>
            <w:noWrap w:val="0"/>
            <w:vAlign w:val="center"/>
          </w:tcPr>
          <w:p w14:paraId="69818B37">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lang w:val="en-US" w:eastAsia="zh-CN"/>
              </w:rPr>
              <w:t>单位负责人</w:t>
            </w:r>
            <w:r>
              <w:rPr>
                <w:rFonts w:hint="eastAsia" w:ascii="宋体" w:hAnsi="宋体" w:eastAsia="宋体" w:cs="宋体"/>
                <w:highlight w:val="none"/>
              </w:rPr>
              <w:t>电话</w:t>
            </w:r>
          </w:p>
        </w:tc>
        <w:tc>
          <w:tcPr>
            <w:tcW w:w="1861" w:type="dxa"/>
            <w:noWrap w:val="0"/>
            <w:vAlign w:val="center"/>
          </w:tcPr>
          <w:p w14:paraId="4A834CF9">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r>
      <w:tr w14:paraId="1D1A1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5BDAB50B">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0D236ACA">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联系人</w:t>
            </w:r>
          </w:p>
        </w:tc>
        <w:tc>
          <w:tcPr>
            <w:tcW w:w="3686" w:type="dxa"/>
            <w:gridSpan w:val="2"/>
            <w:noWrap w:val="0"/>
            <w:vAlign w:val="center"/>
          </w:tcPr>
          <w:p w14:paraId="7F50F1CC">
            <w:pPr>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highlight w:val="none"/>
              </w:rPr>
            </w:pPr>
          </w:p>
        </w:tc>
        <w:tc>
          <w:tcPr>
            <w:tcW w:w="1843" w:type="dxa"/>
            <w:noWrap w:val="0"/>
            <w:vAlign w:val="center"/>
          </w:tcPr>
          <w:p w14:paraId="3E7EE473">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联系人/电话</w:t>
            </w:r>
          </w:p>
        </w:tc>
        <w:tc>
          <w:tcPr>
            <w:tcW w:w="1861" w:type="dxa"/>
            <w:noWrap w:val="0"/>
            <w:vAlign w:val="center"/>
          </w:tcPr>
          <w:p w14:paraId="5F3BB768">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r>
      <w:tr w14:paraId="7A59A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448" w:type="dxa"/>
            <w:vMerge w:val="continue"/>
            <w:noWrap w:val="0"/>
            <w:vAlign w:val="center"/>
          </w:tcPr>
          <w:p w14:paraId="3CE9F385">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46862CFF">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项目性质</w:t>
            </w:r>
          </w:p>
        </w:tc>
        <w:tc>
          <w:tcPr>
            <w:tcW w:w="3686" w:type="dxa"/>
            <w:gridSpan w:val="2"/>
            <w:noWrap w:val="0"/>
            <w:vAlign w:val="center"/>
          </w:tcPr>
          <w:p w14:paraId="6EACE200">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rPr>
              <w:t>新建□   改建□   扩建□</w:t>
            </w:r>
          </w:p>
        </w:tc>
        <w:tc>
          <w:tcPr>
            <w:tcW w:w="1843" w:type="dxa"/>
            <w:noWrap w:val="0"/>
            <w:vAlign w:val="center"/>
          </w:tcPr>
          <w:p w14:paraId="628E536E">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eastAsia="zh-CN"/>
              </w:rPr>
            </w:pPr>
            <w:r>
              <w:rPr>
                <w:rFonts w:hint="eastAsia" w:ascii="宋体" w:hAnsi="宋体" w:eastAsia="宋体" w:cs="宋体"/>
                <w:highlight w:val="none"/>
                <w:lang w:val="en-US" w:eastAsia="zh-CN"/>
              </w:rPr>
              <w:t>项目总投资</w:t>
            </w:r>
          </w:p>
        </w:tc>
        <w:tc>
          <w:tcPr>
            <w:tcW w:w="1861" w:type="dxa"/>
            <w:noWrap w:val="0"/>
            <w:vAlign w:val="center"/>
          </w:tcPr>
          <w:p w14:paraId="19FDF6A9">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eastAsia="zh-CN"/>
              </w:rPr>
            </w:pPr>
          </w:p>
        </w:tc>
      </w:tr>
      <w:tr w14:paraId="1B5AB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448" w:type="dxa"/>
            <w:vMerge w:val="continue"/>
            <w:noWrap w:val="0"/>
            <w:vAlign w:val="center"/>
          </w:tcPr>
          <w:p w14:paraId="58811EB4">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3208619E">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投资管理类别</w:t>
            </w:r>
          </w:p>
        </w:tc>
        <w:tc>
          <w:tcPr>
            <w:tcW w:w="7390" w:type="dxa"/>
            <w:gridSpan w:val="4"/>
            <w:noWrap w:val="0"/>
            <w:vAlign w:val="center"/>
          </w:tcPr>
          <w:p w14:paraId="150D150C">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lang w:val="en-US" w:eastAsia="zh-CN"/>
              </w:rPr>
              <w:t>审批</w:t>
            </w:r>
            <w:r>
              <w:rPr>
                <w:rFonts w:hint="eastAsia" w:ascii="宋体" w:hAnsi="宋体" w:eastAsia="宋体" w:cs="宋体"/>
                <w:highlight w:val="none"/>
              </w:rPr>
              <w:sym w:font="Wingdings 2" w:char="00A3"/>
            </w:r>
            <w:r>
              <w:rPr>
                <w:rFonts w:hint="eastAsia" w:ascii="宋体" w:hAnsi="宋体" w:eastAsia="宋体" w:cs="宋体"/>
                <w:highlight w:val="none"/>
              </w:rPr>
              <w:t xml:space="preserve">   </w:t>
            </w:r>
            <w:r>
              <w:rPr>
                <w:rFonts w:hint="eastAsia" w:ascii="宋体" w:hAnsi="宋体" w:eastAsia="宋体" w:cs="宋体"/>
                <w:highlight w:val="none"/>
                <w:lang w:val="en-US" w:eastAsia="zh-CN"/>
              </w:rPr>
              <w:t>核准</w:t>
            </w:r>
            <w:r>
              <w:rPr>
                <w:rFonts w:hint="eastAsia" w:ascii="宋体" w:hAnsi="宋体" w:eastAsia="宋体" w:cs="宋体"/>
                <w:highlight w:val="none"/>
              </w:rPr>
              <w:sym w:font="Wingdings 2" w:char="00A3"/>
            </w:r>
            <w:r>
              <w:rPr>
                <w:rFonts w:hint="eastAsia" w:ascii="宋体" w:hAnsi="宋体" w:eastAsia="宋体" w:cs="宋体"/>
                <w:highlight w:val="none"/>
              </w:rPr>
              <w:t xml:space="preserve">   </w:t>
            </w:r>
            <w:r>
              <w:rPr>
                <w:rFonts w:hint="eastAsia" w:ascii="宋体" w:hAnsi="宋体" w:eastAsia="宋体" w:cs="宋体"/>
                <w:highlight w:val="none"/>
                <w:lang w:val="en-US" w:eastAsia="zh-CN"/>
              </w:rPr>
              <w:t>备案</w:t>
            </w:r>
            <w:r>
              <w:rPr>
                <w:rFonts w:hint="eastAsia" w:ascii="宋体" w:hAnsi="宋体" w:eastAsia="宋体" w:cs="宋体"/>
                <w:highlight w:val="none"/>
              </w:rPr>
              <w:sym w:font="Wingdings 2" w:char="00A3"/>
            </w:r>
          </w:p>
        </w:tc>
      </w:tr>
      <w:tr w14:paraId="4362F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448" w:type="dxa"/>
            <w:vMerge w:val="continue"/>
            <w:noWrap w:val="0"/>
            <w:vAlign w:val="center"/>
          </w:tcPr>
          <w:p w14:paraId="5A61177B">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2A1D52ED">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eastAsia="zh-CN"/>
              </w:rPr>
            </w:pPr>
            <w:r>
              <w:rPr>
                <w:rFonts w:hint="eastAsia" w:ascii="宋体" w:hAnsi="宋体" w:eastAsia="宋体" w:cs="宋体"/>
                <w:highlight w:val="none"/>
              </w:rPr>
              <w:t>项目</w:t>
            </w:r>
            <w:r>
              <w:rPr>
                <w:rFonts w:hint="eastAsia" w:ascii="宋体" w:hAnsi="宋体" w:eastAsia="宋体" w:cs="宋体"/>
                <w:highlight w:val="none"/>
                <w:lang w:val="en-US" w:eastAsia="zh-CN"/>
              </w:rPr>
              <w:t>所属行业</w:t>
            </w:r>
          </w:p>
        </w:tc>
        <w:tc>
          <w:tcPr>
            <w:tcW w:w="3686" w:type="dxa"/>
            <w:gridSpan w:val="2"/>
            <w:noWrap w:val="0"/>
            <w:vAlign w:val="center"/>
          </w:tcPr>
          <w:p w14:paraId="69D5E784">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843" w:type="dxa"/>
            <w:noWrap w:val="0"/>
            <w:vAlign w:val="center"/>
          </w:tcPr>
          <w:p w14:paraId="410CF919">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eastAsia="zh-CN"/>
              </w:rPr>
            </w:pPr>
            <w:r>
              <w:rPr>
                <w:rFonts w:hint="eastAsia" w:ascii="宋体" w:hAnsi="宋体" w:eastAsia="宋体" w:cs="宋体"/>
                <w:highlight w:val="none"/>
                <w:lang w:val="en-US" w:eastAsia="zh-CN"/>
              </w:rPr>
              <w:t>建筑面积（m</w:t>
            </w:r>
            <w:r>
              <w:rPr>
                <w:rFonts w:hint="eastAsia" w:ascii="宋体" w:hAnsi="宋体" w:eastAsia="宋体" w:cs="宋体"/>
                <w:highlight w:val="none"/>
                <w:vertAlign w:val="superscript"/>
                <w:lang w:val="en-US" w:eastAsia="zh-CN"/>
              </w:rPr>
              <w:t>2</w:t>
            </w:r>
            <w:r>
              <w:rPr>
                <w:rFonts w:hint="eastAsia" w:ascii="宋体" w:hAnsi="宋体" w:eastAsia="宋体" w:cs="宋体"/>
                <w:highlight w:val="none"/>
                <w:lang w:val="en-US" w:eastAsia="zh-CN"/>
              </w:rPr>
              <w:t>）</w:t>
            </w:r>
          </w:p>
        </w:tc>
        <w:tc>
          <w:tcPr>
            <w:tcW w:w="1861" w:type="dxa"/>
            <w:noWrap w:val="0"/>
            <w:vAlign w:val="center"/>
          </w:tcPr>
          <w:p w14:paraId="370C270B">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r>
      <w:tr w14:paraId="5567D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63F89D5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19E15AC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eastAsia="zh-CN"/>
              </w:rPr>
            </w:pPr>
            <w:r>
              <w:rPr>
                <w:rFonts w:hint="eastAsia" w:ascii="宋体" w:hAnsi="宋体" w:eastAsia="宋体" w:cs="宋体"/>
                <w:highlight w:val="none"/>
                <w:lang w:val="en-US" w:eastAsia="zh-CN"/>
              </w:rPr>
              <w:t>拟开工时间</w:t>
            </w:r>
          </w:p>
        </w:tc>
        <w:tc>
          <w:tcPr>
            <w:tcW w:w="3686" w:type="dxa"/>
            <w:gridSpan w:val="2"/>
            <w:noWrap w:val="0"/>
            <w:vAlign w:val="center"/>
          </w:tcPr>
          <w:p w14:paraId="5F62EB5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843" w:type="dxa"/>
            <w:noWrap w:val="0"/>
            <w:vAlign w:val="center"/>
          </w:tcPr>
          <w:p w14:paraId="37DD8DD8">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eastAsia="zh-CN"/>
              </w:rPr>
            </w:pPr>
            <w:r>
              <w:rPr>
                <w:rFonts w:hint="eastAsia" w:ascii="宋体" w:hAnsi="宋体" w:eastAsia="宋体" w:cs="宋体"/>
                <w:highlight w:val="none"/>
                <w:lang w:val="en-US" w:eastAsia="zh-CN"/>
              </w:rPr>
              <w:t>拟</w:t>
            </w:r>
            <w:r>
              <w:rPr>
                <w:rFonts w:hint="eastAsia" w:ascii="宋体" w:hAnsi="宋体" w:eastAsia="宋体" w:cs="宋体"/>
                <w:color w:val="auto"/>
                <w:highlight w:val="none"/>
                <w:lang w:val="en-US" w:eastAsia="zh-CN"/>
              </w:rPr>
              <w:t>投产</w:t>
            </w:r>
            <w:r>
              <w:rPr>
                <w:rFonts w:hint="eastAsia" w:ascii="宋体" w:hAnsi="宋体" w:cs="宋体"/>
                <w:color w:val="auto"/>
                <w:highlight w:val="none"/>
                <w:lang w:val="en-US" w:eastAsia="zh-CN"/>
              </w:rPr>
              <w:t>时间</w:t>
            </w:r>
          </w:p>
        </w:tc>
        <w:tc>
          <w:tcPr>
            <w:tcW w:w="1861" w:type="dxa"/>
            <w:noWrap w:val="0"/>
            <w:vAlign w:val="center"/>
          </w:tcPr>
          <w:p w14:paraId="1D6114BB">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eastAsia="zh-CN"/>
              </w:rPr>
            </w:pPr>
          </w:p>
        </w:tc>
      </w:tr>
      <w:tr w14:paraId="18F16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0" w:hRule="atLeast"/>
          <w:jc w:val="center"/>
        </w:trPr>
        <w:tc>
          <w:tcPr>
            <w:tcW w:w="448" w:type="dxa"/>
            <w:vMerge w:val="continue"/>
            <w:noWrap w:val="0"/>
            <w:vAlign w:val="center"/>
          </w:tcPr>
          <w:p w14:paraId="50B91948">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7B7D33D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建设规模和</w:t>
            </w:r>
          </w:p>
          <w:p w14:paraId="4D975CFD">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主要内容</w:t>
            </w:r>
          </w:p>
        </w:tc>
        <w:tc>
          <w:tcPr>
            <w:tcW w:w="7390" w:type="dxa"/>
            <w:gridSpan w:val="4"/>
            <w:noWrap w:val="0"/>
            <w:vAlign w:val="center"/>
          </w:tcPr>
          <w:p w14:paraId="09B607C5">
            <w:pPr>
              <w:pStyle w:val="24"/>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highlight w:val="none"/>
              </w:rPr>
            </w:pPr>
          </w:p>
        </w:tc>
      </w:tr>
      <w:tr w14:paraId="4F2B9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restart"/>
            <w:noWrap w:val="0"/>
            <w:vAlign w:val="center"/>
          </w:tcPr>
          <w:p w14:paraId="156FA22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年耗能量</w:t>
            </w:r>
          </w:p>
        </w:tc>
        <w:tc>
          <w:tcPr>
            <w:tcW w:w="1646" w:type="dxa"/>
            <w:noWrap w:val="0"/>
            <w:vAlign w:val="center"/>
          </w:tcPr>
          <w:p w14:paraId="44757CE4">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能源种类</w:t>
            </w:r>
          </w:p>
        </w:tc>
        <w:tc>
          <w:tcPr>
            <w:tcW w:w="2127" w:type="dxa"/>
            <w:noWrap w:val="0"/>
            <w:vAlign w:val="center"/>
          </w:tcPr>
          <w:p w14:paraId="334C7E7C">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eastAsia="zh-CN"/>
              </w:rPr>
            </w:pPr>
            <w:r>
              <w:rPr>
                <w:rFonts w:hint="eastAsia" w:ascii="宋体" w:hAnsi="宋体" w:eastAsia="宋体" w:cs="宋体"/>
                <w:highlight w:val="none"/>
                <w:lang w:val="en-US" w:eastAsia="zh-CN"/>
              </w:rPr>
              <w:t>计量单位</w:t>
            </w:r>
          </w:p>
        </w:tc>
        <w:tc>
          <w:tcPr>
            <w:tcW w:w="1559" w:type="dxa"/>
            <w:noWrap w:val="0"/>
            <w:vAlign w:val="center"/>
          </w:tcPr>
          <w:p w14:paraId="2B40934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年需要实物量</w:t>
            </w:r>
          </w:p>
        </w:tc>
        <w:tc>
          <w:tcPr>
            <w:tcW w:w="1843" w:type="dxa"/>
            <w:noWrap w:val="0"/>
            <w:vAlign w:val="center"/>
          </w:tcPr>
          <w:p w14:paraId="10137D94">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折标系数</w:t>
            </w:r>
          </w:p>
        </w:tc>
        <w:tc>
          <w:tcPr>
            <w:tcW w:w="1861" w:type="dxa"/>
            <w:noWrap w:val="0"/>
            <w:vAlign w:val="center"/>
          </w:tcPr>
          <w:p w14:paraId="24F7A4A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折标煤量（tce）</w:t>
            </w:r>
          </w:p>
        </w:tc>
      </w:tr>
      <w:tr w14:paraId="7DAC4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10254E48">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vMerge w:val="restart"/>
            <w:noWrap w:val="0"/>
            <w:vAlign w:val="center"/>
          </w:tcPr>
          <w:p w14:paraId="75DE467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电力</w:t>
            </w:r>
          </w:p>
        </w:tc>
        <w:tc>
          <w:tcPr>
            <w:tcW w:w="2127" w:type="dxa"/>
            <w:vMerge w:val="restart"/>
            <w:noWrap w:val="0"/>
            <w:vAlign w:val="center"/>
          </w:tcPr>
          <w:p w14:paraId="43C5F118">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559" w:type="dxa"/>
            <w:vMerge w:val="restart"/>
            <w:noWrap w:val="0"/>
            <w:vAlign w:val="center"/>
          </w:tcPr>
          <w:p w14:paraId="30D25902">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tc>
        <w:tc>
          <w:tcPr>
            <w:tcW w:w="1843" w:type="dxa"/>
            <w:noWrap w:val="0"/>
            <w:vAlign w:val="center"/>
          </w:tcPr>
          <w:p w14:paraId="04659ABF">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861" w:type="dxa"/>
            <w:noWrap w:val="0"/>
            <w:vAlign w:val="center"/>
          </w:tcPr>
          <w:p w14:paraId="475CAB20">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eastAsia="zh-CN"/>
              </w:rPr>
            </w:pPr>
            <w:r>
              <w:rPr>
                <w:rFonts w:hint="eastAsia" w:ascii="宋体" w:hAnsi="宋体" w:eastAsia="宋体" w:cs="宋体"/>
                <w:highlight w:val="none"/>
                <w:lang w:eastAsia="zh-CN"/>
              </w:rPr>
              <w:t>（</w:t>
            </w:r>
            <w:r>
              <w:rPr>
                <w:rFonts w:hint="eastAsia" w:ascii="宋体" w:hAnsi="宋体" w:eastAsia="宋体" w:cs="宋体"/>
                <w:highlight w:val="none"/>
                <w:lang w:val="en-US" w:eastAsia="zh-CN"/>
              </w:rPr>
              <w:t>当量值</w:t>
            </w:r>
            <w:r>
              <w:rPr>
                <w:rFonts w:hint="eastAsia" w:ascii="宋体" w:hAnsi="宋体" w:eastAsia="宋体" w:cs="宋体"/>
                <w:highlight w:val="none"/>
                <w:lang w:eastAsia="zh-CN"/>
              </w:rPr>
              <w:t>）</w:t>
            </w:r>
          </w:p>
        </w:tc>
      </w:tr>
      <w:tr w14:paraId="4D5EB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3FEE4B8E">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vMerge w:val="continue"/>
            <w:noWrap w:val="0"/>
            <w:vAlign w:val="center"/>
          </w:tcPr>
          <w:p w14:paraId="1A889100">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2127" w:type="dxa"/>
            <w:vMerge w:val="continue"/>
            <w:noWrap w:val="0"/>
            <w:vAlign w:val="center"/>
          </w:tcPr>
          <w:p w14:paraId="466841BE">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559" w:type="dxa"/>
            <w:vMerge w:val="continue"/>
            <w:noWrap w:val="0"/>
            <w:vAlign w:val="center"/>
          </w:tcPr>
          <w:p w14:paraId="26FFA606">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843" w:type="dxa"/>
            <w:noWrap w:val="0"/>
            <w:vAlign w:val="center"/>
          </w:tcPr>
          <w:p w14:paraId="06258444">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tc>
        <w:tc>
          <w:tcPr>
            <w:tcW w:w="1861" w:type="dxa"/>
            <w:noWrap w:val="0"/>
            <w:vAlign w:val="center"/>
          </w:tcPr>
          <w:p w14:paraId="243A7C3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（等价值）</w:t>
            </w:r>
          </w:p>
        </w:tc>
      </w:tr>
      <w:tr w14:paraId="32D9C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2A0217AC">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74B68E6B">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煤炭</w:t>
            </w:r>
          </w:p>
        </w:tc>
        <w:tc>
          <w:tcPr>
            <w:tcW w:w="2127" w:type="dxa"/>
            <w:noWrap w:val="0"/>
            <w:vAlign w:val="center"/>
          </w:tcPr>
          <w:p w14:paraId="03457254">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tc>
        <w:tc>
          <w:tcPr>
            <w:tcW w:w="1559" w:type="dxa"/>
            <w:noWrap w:val="0"/>
            <w:vAlign w:val="center"/>
          </w:tcPr>
          <w:p w14:paraId="5296BE09">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tc>
        <w:tc>
          <w:tcPr>
            <w:tcW w:w="1843" w:type="dxa"/>
            <w:noWrap w:val="0"/>
            <w:vAlign w:val="center"/>
          </w:tcPr>
          <w:p w14:paraId="6CC40325">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861" w:type="dxa"/>
            <w:noWrap w:val="0"/>
            <w:vAlign w:val="center"/>
          </w:tcPr>
          <w:p w14:paraId="61CEC70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r>
      <w:tr w14:paraId="35237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37CCE31D">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1247A32F">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热力</w:t>
            </w:r>
          </w:p>
        </w:tc>
        <w:tc>
          <w:tcPr>
            <w:tcW w:w="2127" w:type="dxa"/>
            <w:noWrap w:val="0"/>
            <w:vAlign w:val="center"/>
          </w:tcPr>
          <w:p w14:paraId="170AAB35">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tc>
        <w:tc>
          <w:tcPr>
            <w:tcW w:w="1559" w:type="dxa"/>
            <w:noWrap w:val="0"/>
            <w:vAlign w:val="center"/>
          </w:tcPr>
          <w:p w14:paraId="3EB7325E">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tc>
        <w:tc>
          <w:tcPr>
            <w:tcW w:w="1843" w:type="dxa"/>
            <w:noWrap w:val="0"/>
            <w:vAlign w:val="center"/>
          </w:tcPr>
          <w:p w14:paraId="36F66C6C">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861" w:type="dxa"/>
            <w:noWrap w:val="0"/>
            <w:vAlign w:val="center"/>
          </w:tcPr>
          <w:p w14:paraId="73022467">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r>
      <w:tr w14:paraId="687E4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163EA75D">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32E32256">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天然气</w:t>
            </w:r>
          </w:p>
        </w:tc>
        <w:tc>
          <w:tcPr>
            <w:tcW w:w="2127" w:type="dxa"/>
            <w:noWrap w:val="0"/>
            <w:vAlign w:val="center"/>
          </w:tcPr>
          <w:p w14:paraId="2F605A57">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559" w:type="dxa"/>
            <w:noWrap w:val="0"/>
            <w:vAlign w:val="center"/>
          </w:tcPr>
          <w:p w14:paraId="4020E03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tc>
        <w:tc>
          <w:tcPr>
            <w:tcW w:w="1843" w:type="dxa"/>
            <w:noWrap w:val="0"/>
            <w:vAlign w:val="center"/>
          </w:tcPr>
          <w:p w14:paraId="0F1758A2">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861" w:type="dxa"/>
            <w:noWrap w:val="0"/>
            <w:vAlign w:val="center"/>
          </w:tcPr>
          <w:p w14:paraId="68B78C98">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r>
      <w:tr w14:paraId="19FB5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2D257086">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646" w:type="dxa"/>
            <w:noWrap w:val="0"/>
            <w:vAlign w:val="center"/>
          </w:tcPr>
          <w:p w14:paraId="73ADBC4F">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p>
        </w:tc>
        <w:tc>
          <w:tcPr>
            <w:tcW w:w="2127" w:type="dxa"/>
            <w:noWrap w:val="0"/>
            <w:vAlign w:val="center"/>
          </w:tcPr>
          <w:p w14:paraId="5F27185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tc>
        <w:tc>
          <w:tcPr>
            <w:tcW w:w="1559" w:type="dxa"/>
            <w:noWrap w:val="0"/>
            <w:vAlign w:val="center"/>
          </w:tcPr>
          <w:p w14:paraId="1E1E86CC">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tc>
        <w:tc>
          <w:tcPr>
            <w:tcW w:w="1843" w:type="dxa"/>
            <w:noWrap w:val="0"/>
            <w:vAlign w:val="center"/>
          </w:tcPr>
          <w:p w14:paraId="11CF1469">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1861" w:type="dxa"/>
            <w:noWrap w:val="0"/>
            <w:vAlign w:val="center"/>
          </w:tcPr>
          <w:p w14:paraId="2472CC10">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r>
      <w:tr w14:paraId="0C71F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6C03A988">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5332" w:type="dxa"/>
            <w:gridSpan w:val="3"/>
            <w:vMerge w:val="restart"/>
            <w:noWrap w:val="0"/>
            <w:vAlign w:val="center"/>
          </w:tcPr>
          <w:p w14:paraId="546111D4">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项目</w:t>
            </w:r>
            <w:r>
              <w:rPr>
                <w:rFonts w:hint="eastAsia" w:ascii="宋体" w:hAnsi="宋体" w:cs="宋体"/>
                <w:highlight w:val="none"/>
                <w:lang w:val="en-US" w:eastAsia="zh-CN"/>
              </w:rPr>
              <w:t>新增年综合能源消费</w:t>
            </w:r>
            <w:r>
              <w:rPr>
                <w:rFonts w:hint="eastAsia" w:ascii="宋体" w:hAnsi="宋体" w:eastAsia="宋体" w:cs="宋体"/>
                <w:highlight w:val="none"/>
                <w:lang w:val="en-US" w:eastAsia="zh-CN"/>
              </w:rPr>
              <w:t>量（</w:t>
            </w:r>
            <w:r>
              <w:rPr>
                <w:rFonts w:hint="eastAsia" w:ascii="宋体" w:hAnsi="宋体" w:cs="宋体"/>
                <w:highlight w:val="none"/>
                <w:lang w:val="en-US" w:eastAsia="zh-CN"/>
              </w:rPr>
              <w:t>吨标准煤</w:t>
            </w:r>
            <w:r>
              <w:rPr>
                <w:rFonts w:hint="eastAsia" w:ascii="宋体" w:hAnsi="宋体" w:eastAsia="宋体" w:cs="宋体"/>
                <w:highlight w:val="none"/>
                <w:lang w:val="en-US" w:eastAsia="zh-CN"/>
              </w:rPr>
              <w:t>）</w:t>
            </w:r>
          </w:p>
        </w:tc>
        <w:tc>
          <w:tcPr>
            <w:tcW w:w="3704" w:type="dxa"/>
            <w:gridSpan w:val="2"/>
            <w:noWrap w:val="0"/>
            <w:vAlign w:val="center"/>
          </w:tcPr>
          <w:p w14:paraId="5C34725A">
            <w:pPr>
              <w:pStyle w:val="24"/>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rFonts w:hint="eastAsia" w:ascii="宋体" w:hAnsi="宋体" w:eastAsia="宋体" w:cs="宋体"/>
                <w:kern w:val="2"/>
                <w:sz w:val="20"/>
                <w:szCs w:val="24"/>
                <w:highlight w:val="none"/>
                <w:lang w:val="en-US" w:eastAsia="zh-CN" w:bidi="ar-SA"/>
              </w:rPr>
            </w:pPr>
            <w:r>
              <w:rPr>
                <w:rFonts w:hint="eastAsia" w:ascii="宋体" w:hAnsi="宋体" w:eastAsia="宋体" w:cs="宋体"/>
                <w:highlight w:val="none"/>
                <w:lang w:eastAsia="zh-CN"/>
              </w:rPr>
              <w:t>（</w:t>
            </w:r>
            <w:r>
              <w:rPr>
                <w:rFonts w:hint="eastAsia" w:ascii="宋体" w:hAnsi="宋体" w:eastAsia="宋体" w:cs="宋体"/>
                <w:highlight w:val="none"/>
                <w:lang w:val="en-US" w:eastAsia="zh-CN"/>
              </w:rPr>
              <w:t>当量值</w:t>
            </w:r>
            <w:r>
              <w:rPr>
                <w:rFonts w:hint="eastAsia" w:ascii="宋体" w:hAnsi="宋体" w:eastAsia="宋体" w:cs="宋体"/>
                <w:highlight w:val="none"/>
                <w:lang w:eastAsia="zh-CN"/>
              </w:rPr>
              <w:t>）</w:t>
            </w:r>
          </w:p>
        </w:tc>
      </w:tr>
      <w:tr w14:paraId="1FFF5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8" w:type="dxa"/>
            <w:vMerge w:val="continue"/>
            <w:noWrap w:val="0"/>
            <w:vAlign w:val="center"/>
          </w:tcPr>
          <w:p w14:paraId="3536D6D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5332" w:type="dxa"/>
            <w:gridSpan w:val="3"/>
            <w:vMerge w:val="continue"/>
            <w:noWrap w:val="0"/>
            <w:vAlign w:val="center"/>
          </w:tcPr>
          <w:p w14:paraId="07A77151">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3704" w:type="dxa"/>
            <w:gridSpan w:val="2"/>
            <w:noWrap w:val="0"/>
            <w:vAlign w:val="center"/>
          </w:tcPr>
          <w:p w14:paraId="7D4AC56C">
            <w:pPr>
              <w:pStyle w:val="24"/>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rFonts w:hint="eastAsia" w:ascii="宋体" w:hAnsi="宋体" w:eastAsia="宋体" w:cs="宋体"/>
                <w:kern w:val="2"/>
                <w:sz w:val="20"/>
                <w:szCs w:val="24"/>
                <w:highlight w:val="none"/>
                <w:lang w:val="en-US" w:eastAsia="zh-CN" w:bidi="ar-SA"/>
              </w:rPr>
            </w:pPr>
            <w:r>
              <w:rPr>
                <w:rFonts w:hint="eastAsia" w:ascii="宋体" w:hAnsi="宋体" w:eastAsia="宋体" w:cs="宋体"/>
                <w:highlight w:val="none"/>
                <w:lang w:val="en-US" w:eastAsia="zh-CN"/>
              </w:rPr>
              <w:t>（等价值）</w:t>
            </w:r>
          </w:p>
        </w:tc>
      </w:tr>
      <w:tr w14:paraId="4FE3E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448" w:type="dxa"/>
            <w:vMerge w:val="restart"/>
            <w:noWrap w:val="0"/>
            <w:vAlign w:val="center"/>
          </w:tcPr>
          <w:p w14:paraId="0405272B">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rPr>
              <w:t>能效指标</w:t>
            </w:r>
          </w:p>
        </w:tc>
        <w:tc>
          <w:tcPr>
            <w:tcW w:w="7175" w:type="dxa"/>
            <w:gridSpan w:val="4"/>
            <w:noWrap w:val="0"/>
            <w:vAlign w:val="center"/>
          </w:tcPr>
          <w:p w14:paraId="4140BB37">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单位</w:t>
            </w:r>
            <w:r>
              <w:rPr>
                <w:rFonts w:hint="eastAsia" w:ascii="宋体" w:hAnsi="宋体" w:eastAsia="宋体" w:cs="宋体"/>
                <w:color w:val="auto"/>
                <w:highlight w:val="none"/>
                <w:lang w:val="en-US" w:eastAsia="zh-CN"/>
              </w:rPr>
              <w:t>产品</w:t>
            </w:r>
            <w:r>
              <w:rPr>
                <w:rFonts w:hint="eastAsia" w:ascii="宋体" w:hAnsi="宋体" w:eastAsia="宋体" w:cs="宋体"/>
                <w:color w:val="auto"/>
                <w:highlight w:val="none"/>
              </w:rPr>
              <w:t>能耗</w:t>
            </w: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吨标准煤</w:t>
            </w:r>
            <w:r>
              <w:rPr>
                <w:rFonts w:hint="eastAsia" w:ascii="宋体" w:hAnsi="宋体" w:eastAsia="宋体" w:cs="宋体"/>
                <w:color w:val="auto"/>
                <w:highlight w:val="none"/>
                <w:lang w:val="en-US" w:eastAsia="zh-CN"/>
              </w:rPr>
              <w:t>）</w:t>
            </w:r>
          </w:p>
        </w:tc>
        <w:tc>
          <w:tcPr>
            <w:tcW w:w="1861" w:type="dxa"/>
            <w:noWrap w:val="0"/>
            <w:vAlign w:val="center"/>
          </w:tcPr>
          <w:p w14:paraId="69DFB463">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r>
      <w:tr w14:paraId="0EF4B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448" w:type="dxa"/>
            <w:vMerge w:val="continue"/>
            <w:noWrap w:val="0"/>
            <w:vAlign w:val="center"/>
          </w:tcPr>
          <w:p w14:paraId="30434C7C">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p>
        </w:tc>
        <w:tc>
          <w:tcPr>
            <w:tcW w:w="7175" w:type="dxa"/>
            <w:gridSpan w:val="4"/>
            <w:noWrap w:val="0"/>
            <w:vAlign w:val="center"/>
          </w:tcPr>
          <w:p w14:paraId="2B0B5A53">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单位</w:t>
            </w:r>
            <w:r>
              <w:rPr>
                <w:rFonts w:hint="eastAsia" w:ascii="宋体" w:hAnsi="宋体" w:eastAsia="宋体" w:cs="宋体"/>
                <w:color w:val="auto"/>
                <w:highlight w:val="none"/>
                <w:lang w:val="en-US" w:eastAsia="zh-CN"/>
              </w:rPr>
              <w:t>工业增加值能耗（</w:t>
            </w:r>
            <w:r>
              <w:rPr>
                <w:rFonts w:hint="eastAsia" w:ascii="宋体" w:hAnsi="宋体" w:cs="宋体"/>
                <w:color w:val="auto"/>
                <w:highlight w:val="none"/>
                <w:lang w:val="en-US" w:eastAsia="zh-CN"/>
              </w:rPr>
              <w:t>吨标准煤</w:t>
            </w:r>
            <w:r>
              <w:rPr>
                <w:rFonts w:hint="eastAsia" w:ascii="宋体" w:hAnsi="宋体" w:eastAsia="宋体" w:cs="宋体"/>
                <w:color w:val="auto"/>
                <w:highlight w:val="none"/>
                <w:lang w:val="en-US" w:eastAsia="zh-CN"/>
              </w:rPr>
              <w:t>）</w:t>
            </w:r>
          </w:p>
        </w:tc>
        <w:tc>
          <w:tcPr>
            <w:tcW w:w="1861" w:type="dxa"/>
            <w:noWrap w:val="0"/>
            <w:vAlign w:val="center"/>
          </w:tcPr>
          <w:p w14:paraId="01BA2025">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rPr>
            </w:pPr>
            <w:r>
              <w:rPr>
                <w:rFonts w:hint="eastAsia" w:ascii="宋体" w:hAnsi="宋体" w:eastAsia="宋体" w:cs="宋体"/>
                <w:highlight w:val="none"/>
                <w:lang w:val="en-US" w:eastAsia="zh-CN"/>
              </w:rPr>
              <w:t>（等价值）</w:t>
            </w:r>
          </w:p>
        </w:tc>
      </w:tr>
      <w:tr w14:paraId="1E592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84" w:type="dxa"/>
            <w:gridSpan w:val="6"/>
            <w:noWrap w:val="0"/>
            <w:vAlign w:val="center"/>
          </w:tcPr>
          <w:p w14:paraId="20531D72">
            <w:pPr>
              <w:pStyle w:val="24"/>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项目耗能测算说明（可另附页）：</w:t>
            </w:r>
          </w:p>
          <w:p w14:paraId="2F091A2F">
            <w:pPr>
              <w:pStyle w:val="24"/>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highlight w:val="none"/>
                <w:lang w:val="en-US" w:eastAsia="zh-CN"/>
              </w:rPr>
            </w:pPr>
          </w:p>
          <w:p w14:paraId="56BBAFAE">
            <w:pPr>
              <w:pStyle w:val="24"/>
              <w:keepNext w:val="0"/>
              <w:keepLines w:val="0"/>
              <w:pageBreakBefore w:val="0"/>
              <w:widowControl w:val="0"/>
              <w:kinsoku/>
              <w:wordWrap/>
              <w:overflowPunct/>
              <w:topLinePunct w:val="0"/>
              <w:autoSpaceDE/>
              <w:autoSpaceDN/>
              <w:bidi w:val="0"/>
              <w:adjustRightInd/>
              <w:snapToGrid/>
              <w:spacing w:line="480" w:lineRule="exact"/>
              <w:ind w:firstLine="400" w:firstLineChars="200"/>
              <w:jc w:val="center"/>
              <w:textAlignment w:val="auto"/>
              <w:rPr>
                <w:rFonts w:hint="eastAsia" w:ascii="宋体" w:hAnsi="宋体" w:eastAsia="宋体" w:cs="宋体"/>
                <w:highlight w:val="none"/>
                <w:lang w:val="en-US" w:eastAsia="zh-CN"/>
              </w:rPr>
            </w:pPr>
          </w:p>
          <w:p w14:paraId="501F6A54">
            <w:pPr>
              <w:pStyle w:val="24"/>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项目节能措施（采用的节能设计标准、规范</w:t>
            </w:r>
            <w:r>
              <w:rPr>
                <w:rFonts w:hint="eastAsia" w:ascii="宋体" w:hAnsi="宋体" w:cs="宋体"/>
                <w:highlight w:val="none"/>
                <w:lang w:val="en-US" w:eastAsia="zh-CN"/>
              </w:rPr>
              <w:t>及</w:t>
            </w:r>
            <w:r>
              <w:rPr>
                <w:rFonts w:hint="eastAsia" w:ascii="宋体" w:hAnsi="宋体" w:eastAsia="宋体" w:cs="宋体"/>
                <w:highlight w:val="none"/>
                <w:lang w:val="en-US" w:eastAsia="zh-CN"/>
              </w:rPr>
              <w:t>节能新技术、新产品并说明项目能源利用效率）：</w:t>
            </w:r>
          </w:p>
          <w:p w14:paraId="10DB8BD6">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p w14:paraId="15B5508E">
            <w:pPr>
              <w:pStyle w:val="24"/>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highlight w:val="none"/>
                <w:lang w:val="en-US" w:eastAsia="zh-CN"/>
              </w:rPr>
            </w:pPr>
          </w:p>
          <w:p w14:paraId="1F1B0CF8">
            <w:pPr>
              <w:pStyle w:val="24"/>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highlight w:val="none"/>
                <w:lang w:val="en-US" w:eastAsia="zh-CN"/>
              </w:rPr>
            </w:pPr>
          </w:p>
        </w:tc>
      </w:tr>
      <w:tr w14:paraId="0B74C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84" w:type="dxa"/>
            <w:gridSpan w:val="6"/>
            <w:noWrap w:val="0"/>
            <w:vAlign w:val="top"/>
          </w:tcPr>
          <w:p w14:paraId="549C12E7">
            <w:pPr>
              <w:pStyle w:val="24"/>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rPr>
            </w:pPr>
            <w:r>
              <w:rPr>
                <w:rFonts w:hint="eastAsia" w:ascii="宋体" w:hAnsi="宋体" w:eastAsia="宋体" w:cs="宋体"/>
                <w:highlight w:val="none"/>
              </w:rPr>
              <w:t>本单位郑重承诺:</w:t>
            </w:r>
          </w:p>
          <w:p w14:paraId="52D394F1">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1.本单位所提供的材料及数据真实有效。</w:t>
            </w:r>
          </w:p>
          <w:p w14:paraId="14F1AE59">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2.本项目符合国家和我省的产业政策，符合区域产业发展规划要求。</w:t>
            </w:r>
          </w:p>
          <w:p w14:paraId="29683F7F">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3.本项目单位产品能耗、电耗达到国家、省行业能耗准入标准(没有准入标准的执行限额标准或地方能效指南 )。</w:t>
            </w:r>
          </w:p>
          <w:p w14:paraId="12DD2FA4">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4.本项目达产后，年综合能源消费量控制在</w:t>
            </w:r>
            <w:r>
              <w:rPr>
                <w:rFonts w:hint="eastAsia" w:ascii="宋体" w:hAnsi="宋体" w:eastAsia="宋体" w:cs="宋体"/>
                <w:highlight w:val="none"/>
                <w:u w:val="single"/>
                <w:lang w:val="en-US" w:eastAsia="zh-CN"/>
              </w:rPr>
              <w:t xml:space="preserve">    </w:t>
            </w:r>
            <w:r>
              <w:rPr>
                <w:rFonts w:hint="eastAsia" w:ascii="宋体" w:hAnsi="宋体" w:eastAsia="宋体" w:cs="宋体"/>
                <w:highlight w:val="none"/>
                <w:lang w:val="en-US" w:eastAsia="zh-CN"/>
              </w:rPr>
              <w:t>吨标准煤(当量值)以内，</w:t>
            </w:r>
            <w:r>
              <w:rPr>
                <w:rFonts w:hint="eastAsia" w:ascii="宋体" w:hAnsi="宋体" w:cs="宋体"/>
                <w:highlight w:val="none"/>
                <w:lang w:val="en-US" w:eastAsia="zh-CN"/>
              </w:rPr>
              <w:t>年电力消费控制在</w:t>
            </w:r>
            <w:r>
              <w:rPr>
                <w:rFonts w:hint="eastAsia" w:ascii="宋体" w:hAnsi="宋体" w:cs="宋体"/>
                <w:highlight w:val="none"/>
                <w:u w:val="single"/>
                <w:lang w:val="en-US" w:eastAsia="zh-CN"/>
              </w:rPr>
              <w:t xml:space="preserve">    </w:t>
            </w:r>
            <w:r>
              <w:rPr>
                <w:rFonts w:hint="eastAsia" w:ascii="宋体" w:hAnsi="宋体" w:cs="宋体"/>
                <w:highlight w:val="none"/>
                <w:lang w:val="en-US" w:eastAsia="zh-CN"/>
              </w:rPr>
              <w:t>万千瓦时以内，</w:t>
            </w:r>
            <w:r>
              <w:rPr>
                <w:rFonts w:hint="eastAsia" w:ascii="宋体" w:hAnsi="宋体" w:eastAsia="宋体" w:cs="宋体"/>
                <w:highlight w:val="none"/>
                <w:lang w:val="en-US" w:eastAsia="zh-CN"/>
              </w:rPr>
              <w:t>预测每万元工业增加值能耗为</w:t>
            </w:r>
            <w:r>
              <w:rPr>
                <w:rFonts w:hint="eastAsia" w:ascii="宋体" w:hAnsi="宋体" w:eastAsia="宋体" w:cs="宋体"/>
                <w:highlight w:val="none"/>
                <w:u w:val="single"/>
                <w:lang w:val="en-US" w:eastAsia="zh-CN"/>
              </w:rPr>
              <w:t xml:space="preserve">      </w:t>
            </w:r>
            <w:r>
              <w:rPr>
                <w:rFonts w:hint="eastAsia" w:ascii="宋体" w:hAnsi="宋体" w:eastAsia="宋体" w:cs="宋体"/>
                <w:highlight w:val="none"/>
                <w:lang w:val="en-US" w:eastAsia="zh-CN"/>
              </w:rPr>
              <w:t>吨标准煤。</w:t>
            </w:r>
          </w:p>
          <w:p w14:paraId="244D6A94">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5.本项目主要用能设备选择符合国家相关节能技术标准,无国家明令禁止使用的淘汰落后设备。</w:t>
            </w:r>
          </w:p>
          <w:p w14:paraId="09119AA1">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6.按规定配备相应的能源计量</w:t>
            </w:r>
            <w:r>
              <w:rPr>
                <w:rFonts w:hint="eastAsia" w:ascii="宋体" w:hAnsi="宋体" w:cs="宋体"/>
                <w:highlight w:val="none"/>
                <w:lang w:val="en-US" w:eastAsia="zh-CN"/>
              </w:rPr>
              <w:t>器具</w:t>
            </w:r>
            <w:r>
              <w:rPr>
                <w:rFonts w:hint="eastAsia" w:ascii="宋体" w:hAnsi="宋体" w:eastAsia="宋体" w:cs="宋体"/>
                <w:highlight w:val="none"/>
                <w:lang w:val="en-US" w:eastAsia="zh-CN"/>
              </w:rPr>
              <w:t>，落实能源计量管理。</w:t>
            </w:r>
          </w:p>
          <w:p w14:paraId="23D5BE88">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7.本项目实施过程中，将严格遵守国家相关节能法律法规政策</w:t>
            </w:r>
            <w:r>
              <w:rPr>
                <w:rFonts w:hint="eastAsia" w:ascii="宋体" w:hAnsi="宋体" w:cs="宋体"/>
                <w:highlight w:val="none"/>
                <w:lang w:val="en-US" w:eastAsia="zh-CN"/>
              </w:rPr>
              <w:t>；</w:t>
            </w:r>
            <w:r>
              <w:rPr>
                <w:rFonts w:hint="eastAsia" w:ascii="宋体" w:hAnsi="宋体" w:eastAsia="宋体" w:cs="宋体"/>
                <w:highlight w:val="none"/>
                <w:lang w:val="en-US" w:eastAsia="zh-CN"/>
              </w:rPr>
              <w:t>建成投产前严格实施节能验收</w:t>
            </w:r>
            <w:r>
              <w:rPr>
                <w:rFonts w:hint="eastAsia" w:ascii="宋体" w:hAnsi="宋体" w:cs="宋体"/>
                <w:highlight w:val="none"/>
                <w:lang w:val="en-US" w:eastAsia="zh-CN"/>
              </w:rPr>
              <w:t>；</w:t>
            </w:r>
            <w:r>
              <w:rPr>
                <w:rFonts w:hint="eastAsia" w:ascii="宋体" w:hAnsi="宋体" w:eastAsia="宋体" w:cs="宋体"/>
                <w:highlight w:val="none"/>
                <w:lang w:val="en-US" w:eastAsia="zh-CN"/>
              </w:rPr>
              <w:t>建成投产后将严格履行报告义务，自觉配合相关检查、监察。</w:t>
            </w:r>
          </w:p>
          <w:p w14:paraId="1119FDD0">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8.若未遵守本承诺内容，将依照有关法律法规政策规定接受处罚，依法承担相应责任，并接受联合惩戒。</w:t>
            </w:r>
          </w:p>
          <w:p w14:paraId="5DA42187">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rPr>
            </w:pPr>
          </w:p>
          <w:p w14:paraId="63F16360">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rPr>
            </w:pPr>
          </w:p>
          <w:p w14:paraId="460B85A7">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rPr>
              <w:t>项目建设单位负责人(签字)</w:t>
            </w:r>
            <w:r>
              <w:rPr>
                <w:rFonts w:hint="eastAsia" w:ascii="宋体" w:hAnsi="宋体" w:eastAsia="宋体" w:cs="宋体"/>
                <w:highlight w:val="none"/>
                <w:lang w:val="en-US" w:eastAsia="zh-CN"/>
              </w:rPr>
              <w:t xml:space="preserve">                                               项目建设单位(盖章 )</w:t>
            </w:r>
          </w:p>
          <w:p w14:paraId="7DCCB968">
            <w:pPr>
              <w:pStyle w:val="24"/>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300"/>
              <w:jc w:val="both"/>
              <w:textAlignment w:val="auto"/>
              <w:rPr>
                <w:rFonts w:hint="default" w:ascii="宋体" w:hAnsi="宋体" w:eastAsia="宋体" w:cs="宋体"/>
                <w:highlight w:val="none"/>
                <w:lang w:val="en-US"/>
              </w:rPr>
            </w:pPr>
            <w:r>
              <w:rPr>
                <w:rFonts w:hint="eastAsia" w:ascii="宋体" w:hAnsi="宋体" w:cs="宋体"/>
                <w:highlight w:val="none"/>
                <w:lang w:val="en-US" w:eastAsia="zh-CN"/>
              </w:rPr>
              <w:t xml:space="preserve">                                                                      </w:t>
            </w:r>
            <w:r>
              <w:rPr>
                <w:rFonts w:hint="eastAsia" w:ascii="宋体" w:hAnsi="宋体" w:eastAsia="宋体" w:cs="宋体"/>
                <w:highlight w:val="none"/>
                <w:lang w:val="en-US" w:eastAsia="zh-CN"/>
              </w:rPr>
              <w:t>年 月 日</w:t>
            </w:r>
            <w:r>
              <w:rPr>
                <w:rFonts w:hint="eastAsia" w:ascii="宋体" w:hAnsi="宋体" w:cs="宋体"/>
                <w:highlight w:val="none"/>
                <w:lang w:val="en-US" w:eastAsia="zh-CN"/>
              </w:rPr>
              <w:t xml:space="preserve">        </w:t>
            </w:r>
          </w:p>
        </w:tc>
      </w:tr>
    </w:tbl>
    <w:p w14:paraId="5DDCE9FB">
      <w:pPr>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highlight w:val="none"/>
        </w:rPr>
        <w:t>注：请将该表格正反面打印。</w:t>
      </w:r>
    </w:p>
    <w:sectPr>
      <w:footerReference r:id="rId3" w:type="default"/>
      <w:pgSz w:w="11850" w:h="16783"/>
      <w:pgMar w:top="1440" w:right="1418"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161C9">
    <w:pPr>
      <w:pStyle w:val="6"/>
      <w:framePr w:wrap="auto" w:vAnchor="text" w:hAnchor="margin" w:xAlign="center" w:y="1"/>
      <w:rPr>
        <w:rStyle w:val="13"/>
      </w:rPr>
    </w:pPr>
    <w:r>
      <w:rPr>
        <w:rStyle w:val="13"/>
        <w:rFonts w:cs="Calibri"/>
      </w:rPr>
      <w:fldChar w:fldCharType="begin"/>
    </w:r>
    <w:r>
      <w:rPr>
        <w:rStyle w:val="13"/>
        <w:rFonts w:cs="Calibri"/>
      </w:rPr>
      <w:instrText xml:space="preserve">PAGE  </w:instrText>
    </w:r>
    <w:r>
      <w:rPr>
        <w:rStyle w:val="13"/>
        <w:rFonts w:cs="Calibri"/>
      </w:rPr>
      <w:fldChar w:fldCharType="separate"/>
    </w:r>
    <w:r>
      <w:rPr>
        <w:rStyle w:val="13"/>
        <w:rFonts w:cs="Calibri"/>
      </w:rPr>
      <w:t>16</w:t>
    </w:r>
    <w:r>
      <w:rPr>
        <w:rStyle w:val="13"/>
        <w:rFonts w:cs="Calibri"/>
      </w:rPr>
      <w:fldChar w:fldCharType="end"/>
    </w:r>
  </w:p>
  <w:p w14:paraId="1D0D4ED5">
    <w:pPr>
      <w:pStyle w:val="6"/>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CB7B22"/>
    <w:rsid w:val="00000624"/>
    <w:rsid w:val="00002828"/>
    <w:rsid w:val="00004342"/>
    <w:rsid w:val="00021C51"/>
    <w:rsid w:val="0002305B"/>
    <w:rsid w:val="00026CEF"/>
    <w:rsid w:val="00045453"/>
    <w:rsid w:val="00046A8D"/>
    <w:rsid w:val="00047647"/>
    <w:rsid w:val="00066512"/>
    <w:rsid w:val="0006774F"/>
    <w:rsid w:val="000704DD"/>
    <w:rsid w:val="000734F5"/>
    <w:rsid w:val="0007537B"/>
    <w:rsid w:val="00087499"/>
    <w:rsid w:val="000A6C9A"/>
    <w:rsid w:val="000A7AB8"/>
    <w:rsid w:val="000B1BE9"/>
    <w:rsid w:val="000B5180"/>
    <w:rsid w:val="000B58A1"/>
    <w:rsid w:val="000C49B1"/>
    <w:rsid w:val="000C5B8F"/>
    <w:rsid w:val="000C70E9"/>
    <w:rsid w:val="000D08EA"/>
    <w:rsid w:val="000D704D"/>
    <w:rsid w:val="000E4CBD"/>
    <w:rsid w:val="000E78A2"/>
    <w:rsid w:val="000F494B"/>
    <w:rsid w:val="00110FD6"/>
    <w:rsid w:val="00116185"/>
    <w:rsid w:val="00117578"/>
    <w:rsid w:val="00123519"/>
    <w:rsid w:val="00140796"/>
    <w:rsid w:val="001416CB"/>
    <w:rsid w:val="001571B5"/>
    <w:rsid w:val="001608DC"/>
    <w:rsid w:val="0016148C"/>
    <w:rsid w:val="00167736"/>
    <w:rsid w:val="00175DB3"/>
    <w:rsid w:val="001806B6"/>
    <w:rsid w:val="00182D50"/>
    <w:rsid w:val="001834C2"/>
    <w:rsid w:val="001859AF"/>
    <w:rsid w:val="0019191B"/>
    <w:rsid w:val="00193E4D"/>
    <w:rsid w:val="001A58ED"/>
    <w:rsid w:val="001B73A0"/>
    <w:rsid w:val="001C401D"/>
    <w:rsid w:val="001D4E18"/>
    <w:rsid w:val="001E57C4"/>
    <w:rsid w:val="001F21E2"/>
    <w:rsid w:val="001F29E6"/>
    <w:rsid w:val="001F50AC"/>
    <w:rsid w:val="001F5398"/>
    <w:rsid w:val="00200F9B"/>
    <w:rsid w:val="002021D1"/>
    <w:rsid w:val="002200A4"/>
    <w:rsid w:val="002246D5"/>
    <w:rsid w:val="00231A04"/>
    <w:rsid w:val="002377F7"/>
    <w:rsid w:val="002574B7"/>
    <w:rsid w:val="00257572"/>
    <w:rsid w:val="002575D2"/>
    <w:rsid w:val="00263049"/>
    <w:rsid w:val="00266602"/>
    <w:rsid w:val="0027372F"/>
    <w:rsid w:val="00275829"/>
    <w:rsid w:val="00277784"/>
    <w:rsid w:val="002A5B1F"/>
    <w:rsid w:val="002B713D"/>
    <w:rsid w:val="002C312B"/>
    <w:rsid w:val="002C31E3"/>
    <w:rsid w:val="002C75BB"/>
    <w:rsid w:val="002D6A80"/>
    <w:rsid w:val="002E19B7"/>
    <w:rsid w:val="002E6CE0"/>
    <w:rsid w:val="002E7D23"/>
    <w:rsid w:val="002F2C09"/>
    <w:rsid w:val="00337834"/>
    <w:rsid w:val="00352584"/>
    <w:rsid w:val="003557D5"/>
    <w:rsid w:val="00372FB0"/>
    <w:rsid w:val="00383D3F"/>
    <w:rsid w:val="0039088C"/>
    <w:rsid w:val="00393455"/>
    <w:rsid w:val="003A361B"/>
    <w:rsid w:val="003C748E"/>
    <w:rsid w:val="003D1D9C"/>
    <w:rsid w:val="003D2B87"/>
    <w:rsid w:val="003E0ADE"/>
    <w:rsid w:val="003E2653"/>
    <w:rsid w:val="003F02A0"/>
    <w:rsid w:val="003F15EE"/>
    <w:rsid w:val="003F7124"/>
    <w:rsid w:val="00401F39"/>
    <w:rsid w:val="004045D1"/>
    <w:rsid w:val="00406FCA"/>
    <w:rsid w:val="004147F8"/>
    <w:rsid w:val="0041632C"/>
    <w:rsid w:val="00422B37"/>
    <w:rsid w:val="00425CEE"/>
    <w:rsid w:val="004307E6"/>
    <w:rsid w:val="00433A77"/>
    <w:rsid w:val="004371CA"/>
    <w:rsid w:val="0043797B"/>
    <w:rsid w:val="004400B8"/>
    <w:rsid w:val="004667AA"/>
    <w:rsid w:val="00473316"/>
    <w:rsid w:val="00490D23"/>
    <w:rsid w:val="004A0039"/>
    <w:rsid w:val="004A6FDD"/>
    <w:rsid w:val="004B5EEC"/>
    <w:rsid w:val="004C63B5"/>
    <w:rsid w:val="004D6D6B"/>
    <w:rsid w:val="00504355"/>
    <w:rsid w:val="00521F06"/>
    <w:rsid w:val="00525C2D"/>
    <w:rsid w:val="00525F10"/>
    <w:rsid w:val="00542CE4"/>
    <w:rsid w:val="00546AA4"/>
    <w:rsid w:val="00584D50"/>
    <w:rsid w:val="00596448"/>
    <w:rsid w:val="005A2018"/>
    <w:rsid w:val="005B5826"/>
    <w:rsid w:val="005C24BC"/>
    <w:rsid w:val="005C2E54"/>
    <w:rsid w:val="005C51EB"/>
    <w:rsid w:val="005E0506"/>
    <w:rsid w:val="006002E8"/>
    <w:rsid w:val="00607AA2"/>
    <w:rsid w:val="0061595B"/>
    <w:rsid w:val="00632229"/>
    <w:rsid w:val="0066039A"/>
    <w:rsid w:val="0066358B"/>
    <w:rsid w:val="00663C3C"/>
    <w:rsid w:val="00666CB0"/>
    <w:rsid w:val="006706AD"/>
    <w:rsid w:val="00674611"/>
    <w:rsid w:val="0068699F"/>
    <w:rsid w:val="006A1BAC"/>
    <w:rsid w:val="006A3385"/>
    <w:rsid w:val="006B4C64"/>
    <w:rsid w:val="006B71F6"/>
    <w:rsid w:val="006C448E"/>
    <w:rsid w:val="006D0937"/>
    <w:rsid w:val="006D538C"/>
    <w:rsid w:val="00701A64"/>
    <w:rsid w:val="0070307D"/>
    <w:rsid w:val="00705080"/>
    <w:rsid w:val="007130BA"/>
    <w:rsid w:val="00714441"/>
    <w:rsid w:val="00727EA7"/>
    <w:rsid w:val="0073008C"/>
    <w:rsid w:val="00731699"/>
    <w:rsid w:val="007361AC"/>
    <w:rsid w:val="0075288C"/>
    <w:rsid w:val="00767C02"/>
    <w:rsid w:val="00784051"/>
    <w:rsid w:val="0079415A"/>
    <w:rsid w:val="00795785"/>
    <w:rsid w:val="007A23BD"/>
    <w:rsid w:val="007A5661"/>
    <w:rsid w:val="007B1C23"/>
    <w:rsid w:val="007D30FA"/>
    <w:rsid w:val="007F4AED"/>
    <w:rsid w:val="007F7B0A"/>
    <w:rsid w:val="00800749"/>
    <w:rsid w:val="008038B3"/>
    <w:rsid w:val="00806C47"/>
    <w:rsid w:val="00815FD8"/>
    <w:rsid w:val="00816A90"/>
    <w:rsid w:val="00822858"/>
    <w:rsid w:val="0082520F"/>
    <w:rsid w:val="00827B4F"/>
    <w:rsid w:val="00841F36"/>
    <w:rsid w:val="00857C7F"/>
    <w:rsid w:val="00862C04"/>
    <w:rsid w:val="00875EED"/>
    <w:rsid w:val="00893402"/>
    <w:rsid w:val="00896A86"/>
    <w:rsid w:val="008A23AD"/>
    <w:rsid w:val="008A3ABE"/>
    <w:rsid w:val="008A53D2"/>
    <w:rsid w:val="008A7F05"/>
    <w:rsid w:val="008B4BC9"/>
    <w:rsid w:val="008C78E6"/>
    <w:rsid w:val="008D3F9D"/>
    <w:rsid w:val="008E21B1"/>
    <w:rsid w:val="008E3FAD"/>
    <w:rsid w:val="008F2980"/>
    <w:rsid w:val="0090565F"/>
    <w:rsid w:val="00915AE7"/>
    <w:rsid w:val="00916846"/>
    <w:rsid w:val="00917F8F"/>
    <w:rsid w:val="00920C9B"/>
    <w:rsid w:val="00925707"/>
    <w:rsid w:val="009371BF"/>
    <w:rsid w:val="00946EB1"/>
    <w:rsid w:val="0095043B"/>
    <w:rsid w:val="00953476"/>
    <w:rsid w:val="0097340E"/>
    <w:rsid w:val="00974E2C"/>
    <w:rsid w:val="00982856"/>
    <w:rsid w:val="00986DA0"/>
    <w:rsid w:val="00987E4F"/>
    <w:rsid w:val="0099006E"/>
    <w:rsid w:val="00993DD6"/>
    <w:rsid w:val="00995609"/>
    <w:rsid w:val="009B11AB"/>
    <w:rsid w:val="009B5EDB"/>
    <w:rsid w:val="009B5F41"/>
    <w:rsid w:val="009B6BC2"/>
    <w:rsid w:val="009C7E03"/>
    <w:rsid w:val="009E45F2"/>
    <w:rsid w:val="009F68D2"/>
    <w:rsid w:val="00A0239E"/>
    <w:rsid w:val="00A35B7C"/>
    <w:rsid w:val="00A42E5A"/>
    <w:rsid w:val="00A53F5E"/>
    <w:rsid w:val="00A54EE8"/>
    <w:rsid w:val="00A6018A"/>
    <w:rsid w:val="00A73A40"/>
    <w:rsid w:val="00A771C4"/>
    <w:rsid w:val="00A804B2"/>
    <w:rsid w:val="00A80F96"/>
    <w:rsid w:val="00A97AFA"/>
    <w:rsid w:val="00AA74DD"/>
    <w:rsid w:val="00AB7ACF"/>
    <w:rsid w:val="00AE2669"/>
    <w:rsid w:val="00AE62D3"/>
    <w:rsid w:val="00AE69C4"/>
    <w:rsid w:val="00AF1B58"/>
    <w:rsid w:val="00AF773B"/>
    <w:rsid w:val="00B018D1"/>
    <w:rsid w:val="00B04389"/>
    <w:rsid w:val="00B0620A"/>
    <w:rsid w:val="00B210F5"/>
    <w:rsid w:val="00B27EA4"/>
    <w:rsid w:val="00B55641"/>
    <w:rsid w:val="00B66459"/>
    <w:rsid w:val="00B733B7"/>
    <w:rsid w:val="00B82F7E"/>
    <w:rsid w:val="00B82F8D"/>
    <w:rsid w:val="00BA2FFE"/>
    <w:rsid w:val="00BC0920"/>
    <w:rsid w:val="00BC2240"/>
    <w:rsid w:val="00BD49D7"/>
    <w:rsid w:val="00BE38EF"/>
    <w:rsid w:val="00BE548F"/>
    <w:rsid w:val="00C07C07"/>
    <w:rsid w:val="00C1114B"/>
    <w:rsid w:val="00C1516B"/>
    <w:rsid w:val="00C1560F"/>
    <w:rsid w:val="00C24422"/>
    <w:rsid w:val="00C36A7C"/>
    <w:rsid w:val="00C426B8"/>
    <w:rsid w:val="00C473FD"/>
    <w:rsid w:val="00C530AB"/>
    <w:rsid w:val="00C56447"/>
    <w:rsid w:val="00C653D1"/>
    <w:rsid w:val="00C70970"/>
    <w:rsid w:val="00C715AF"/>
    <w:rsid w:val="00C77DF8"/>
    <w:rsid w:val="00C84A70"/>
    <w:rsid w:val="00C8521F"/>
    <w:rsid w:val="00C903F7"/>
    <w:rsid w:val="00C94E2E"/>
    <w:rsid w:val="00CA6D12"/>
    <w:rsid w:val="00CB0574"/>
    <w:rsid w:val="00CB7412"/>
    <w:rsid w:val="00CC1DE8"/>
    <w:rsid w:val="00CD15FB"/>
    <w:rsid w:val="00CF01AF"/>
    <w:rsid w:val="00D00BB3"/>
    <w:rsid w:val="00D05BA4"/>
    <w:rsid w:val="00D10E67"/>
    <w:rsid w:val="00D13C93"/>
    <w:rsid w:val="00D26223"/>
    <w:rsid w:val="00D51268"/>
    <w:rsid w:val="00D613C1"/>
    <w:rsid w:val="00D71F3B"/>
    <w:rsid w:val="00D77D9C"/>
    <w:rsid w:val="00D83B66"/>
    <w:rsid w:val="00D92937"/>
    <w:rsid w:val="00DB232E"/>
    <w:rsid w:val="00DC0B9A"/>
    <w:rsid w:val="00DC2027"/>
    <w:rsid w:val="00DD582F"/>
    <w:rsid w:val="00DD635B"/>
    <w:rsid w:val="00DD7382"/>
    <w:rsid w:val="00DE1D31"/>
    <w:rsid w:val="00E00753"/>
    <w:rsid w:val="00E2427D"/>
    <w:rsid w:val="00E324FE"/>
    <w:rsid w:val="00E32C95"/>
    <w:rsid w:val="00E36C13"/>
    <w:rsid w:val="00E37E38"/>
    <w:rsid w:val="00E4390E"/>
    <w:rsid w:val="00E540CD"/>
    <w:rsid w:val="00E5432C"/>
    <w:rsid w:val="00E5503C"/>
    <w:rsid w:val="00E60F3A"/>
    <w:rsid w:val="00E642CF"/>
    <w:rsid w:val="00E645A1"/>
    <w:rsid w:val="00EC5B18"/>
    <w:rsid w:val="00EC659C"/>
    <w:rsid w:val="00ED0D4B"/>
    <w:rsid w:val="00ED4AE4"/>
    <w:rsid w:val="00ED79DC"/>
    <w:rsid w:val="00EE5350"/>
    <w:rsid w:val="00EF4D2D"/>
    <w:rsid w:val="00EF5FC7"/>
    <w:rsid w:val="00F05EFB"/>
    <w:rsid w:val="00F20833"/>
    <w:rsid w:val="00F41616"/>
    <w:rsid w:val="00F43921"/>
    <w:rsid w:val="00F513D1"/>
    <w:rsid w:val="00F620EF"/>
    <w:rsid w:val="00F71E6C"/>
    <w:rsid w:val="00F73652"/>
    <w:rsid w:val="00F85FA2"/>
    <w:rsid w:val="00F8770F"/>
    <w:rsid w:val="00F9645D"/>
    <w:rsid w:val="00FB4987"/>
    <w:rsid w:val="00FC4926"/>
    <w:rsid w:val="00FD0C2A"/>
    <w:rsid w:val="00FD46A8"/>
    <w:rsid w:val="00FD5CCD"/>
    <w:rsid w:val="00FE3415"/>
    <w:rsid w:val="00FF2397"/>
    <w:rsid w:val="057115B4"/>
    <w:rsid w:val="068319D9"/>
    <w:rsid w:val="0BCF3148"/>
    <w:rsid w:val="11E22038"/>
    <w:rsid w:val="177F73D0"/>
    <w:rsid w:val="22880C04"/>
    <w:rsid w:val="268667AD"/>
    <w:rsid w:val="26FF23CC"/>
    <w:rsid w:val="2AE83F41"/>
    <w:rsid w:val="2AF97912"/>
    <w:rsid w:val="2AFF449A"/>
    <w:rsid w:val="2B7E6F6A"/>
    <w:rsid w:val="2D7B3640"/>
    <w:rsid w:val="2E8B6394"/>
    <w:rsid w:val="2F77A616"/>
    <w:rsid w:val="2FF57AB9"/>
    <w:rsid w:val="2FFF0A5F"/>
    <w:rsid w:val="2FFFEC49"/>
    <w:rsid w:val="33DD206A"/>
    <w:rsid w:val="35FB65CE"/>
    <w:rsid w:val="373F2DAA"/>
    <w:rsid w:val="37D78639"/>
    <w:rsid w:val="3A57A828"/>
    <w:rsid w:val="3A7B00B2"/>
    <w:rsid w:val="3AC451B0"/>
    <w:rsid w:val="3BBF8B71"/>
    <w:rsid w:val="3BEF948F"/>
    <w:rsid w:val="3BF1758B"/>
    <w:rsid w:val="3BFFD5C1"/>
    <w:rsid w:val="3D79EBEB"/>
    <w:rsid w:val="3D7F3373"/>
    <w:rsid w:val="3D9FD848"/>
    <w:rsid w:val="3DBDB6A8"/>
    <w:rsid w:val="3ECB7B22"/>
    <w:rsid w:val="3F7FA1C7"/>
    <w:rsid w:val="3FBF4772"/>
    <w:rsid w:val="3FFB3E1B"/>
    <w:rsid w:val="3FFCBE65"/>
    <w:rsid w:val="476BE6B9"/>
    <w:rsid w:val="4AA70708"/>
    <w:rsid w:val="4D3B3132"/>
    <w:rsid w:val="4D9B02BE"/>
    <w:rsid w:val="4FFFFE21"/>
    <w:rsid w:val="52F53E4E"/>
    <w:rsid w:val="55F7A30B"/>
    <w:rsid w:val="574B7566"/>
    <w:rsid w:val="57DB44EC"/>
    <w:rsid w:val="5A5F9ED2"/>
    <w:rsid w:val="5BFF53FD"/>
    <w:rsid w:val="5E7B03FB"/>
    <w:rsid w:val="5E9DF6BA"/>
    <w:rsid w:val="5F6B71AE"/>
    <w:rsid w:val="5FDF9EA8"/>
    <w:rsid w:val="5FED71F6"/>
    <w:rsid w:val="5FFF4210"/>
    <w:rsid w:val="67FE284B"/>
    <w:rsid w:val="6B576A84"/>
    <w:rsid w:val="6BFB352D"/>
    <w:rsid w:val="6DBB6278"/>
    <w:rsid w:val="6DFFDB5D"/>
    <w:rsid w:val="6E382503"/>
    <w:rsid w:val="6EF9A935"/>
    <w:rsid w:val="6FE7A1F5"/>
    <w:rsid w:val="6FFD5C2D"/>
    <w:rsid w:val="6FFDCA86"/>
    <w:rsid w:val="6FFF8B8C"/>
    <w:rsid w:val="70D922AA"/>
    <w:rsid w:val="70ED11B2"/>
    <w:rsid w:val="72FEDE5E"/>
    <w:rsid w:val="73B71073"/>
    <w:rsid w:val="73F61002"/>
    <w:rsid w:val="73FBD4E8"/>
    <w:rsid w:val="74FFBBE6"/>
    <w:rsid w:val="75F2110F"/>
    <w:rsid w:val="75F7F289"/>
    <w:rsid w:val="75FD8C93"/>
    <w:rsid w:val="75FE3CA9"/>
    <w:rsid w:val="76DF4C29"/>
    <w:rsid w:val="76FBA4AA"/>
    <w:rsid w:val="774B6DA2"/>
    <w:rsid w:val="775FA5F5"/>
    <w:rsid w:val="77B508C0"/>
    <w:rsid w:val="77CB6198"/>
    <w:rsid w:val="77E0CE24"/>
    <w:rsid w:val="77F7593B"/>
    <w:rsid w:val="787B3C5E"/>
    <w:rsid w:val="799E705F"/>
    <w:rsid w:val="79DFCD1A"/>
    <w:rsid w:val="79FFABF9"/>
    <w:rsid w:val="7ADF2B22"/>
    <w:rsid w:val="7AFF7029"/>
    <w:rsid w:val="7B7F1DB1"/>
    <w:rsid w:val="7BA311C3"/>
    <w:rsid w:val="7BBF22BC"/>
    <w:rsid w:val="7BDBEAC9"/>
    <w:rsid w:val="7BDF7CED"/>
    <w:rsid w:val="7BE4045C"/>
    <w:rsid w:val="7BEB699E"/>
    <w:rsid w:val="7BF615EB"/>
    <w:rsid w:val="7BFD1ABC"/>
    <w:rsid w:val="7D6F4021"/>
    <w:rsid w:val="7D7F3C98"/>
    <w:rsid w:val="7D7F4626"/>
    <w:rsid w:val="7DAF00ED"/>
    <w:rsid w:val="7DCFF9FF"/>
    <w:rsid w:val="7DD6B678"/>
    <w:rsid w:val="7DDB2106"/>
    <w:rsid w:val="7DDB9550"/>
    <w:rsid w:val="7DDBC326"/>
    <w:rsid w:val="7DF774EF"/>
    <w:rsid w:val="7DF77713"/>
    <w:rsid w:val="7DF88A08"/>
    <w:rsid w:val="7DF92989"/>
    <w:rsid w:val="7DFE3438"/>
    <w:rsid w:val="7DFFB247"/>
    <w:rsid w:val="7E1FA67C"/>
    <w:rsid w:val="7E72EE9A"/>
    <w:rsid w:val="7E9CF4B9"/>
    <w:rsid w:val="7ED584D5"/>
    <w:rsid w:val="7EF5D71B"/>
    <w:rsid w:val="7F37703B"/>
    <w:rsid w:val="7F5FF566"/>
    <w:rsid w:val="7F658FCD"/>
    <w:rsid w:val="7F6F8401"/>
    <w:rsid w:val="7F75D7C6"/>
    <w:rsid w:val="7F76F860"/>
    <w:rsid w:val="7F774F8B"/>
    <w:rsid w:val="7F791BB1"/>
    <w:rsid w:val="7F9DF0D3"/>
    <w:rsid w:val="7FADD9E1"/>
    <w:rsid w:val="7FAE92BA"/>
    <w:rsid w:val="7FB08EAC"/>
    <w:rsid w:val="7FBA61B8"/>
    <w:rsid w:val="7FBB3FC0"/>
    <w:rsid w:val="7FBF3D96"/>
    <w:rsid w:val="7FCA60F9"/>
    <w:rsid w:val="7FCF8A5A"/>
    <w:rsid w:val="7FDD05FC"/>
    <w:rsid w:val="7FEF20D7"/>
    <w:rsid w:val="7FEF57B1"/>
    <w:rsid w:val="7FF6F0CF"/>
    <w:rsid w:val="7FF7A114"/>
    <w:rsid w:val="7FFD0EAD"/>
    <w:rsid w:val="8E7D844A"/>
    <w:rsid w:val="92BF56B5"/>
    <w:rsid w:val="96BD4764"/>
    <w:rsid w:val="9A3FD7A4"/>
    <w:rsid w:val="9EBB0F7B"/>
    <w:rsid w:val="9FB9A08E"/>
    <w:rsid w:val="9FF85F4D"/>
    <w:rsid w:val="A6BFD2BD"/>
    <w:rsid w:val="A6EFF532"/>
    <w:rsid w:val="A7EFBD9B"/>
    <w:rsid w:val="ACB9DFCF"/>
    <w:rsid w:val="AFD94F1A"/>
    <w:rsid w:val="B39B5DB3"/>
    <w:rsid w:val="B5F4D25D"/>
    <w:rsid w:val="B7FD2F5F"/>
    <w:rsid w:val="BAFBA904"/>
    <w:rsid w:val="BBF5F7B4"/>
    <w:rsid w:val="BDB73BE9"/>
    <w:rsid w:val="BDFE5B9F"/>
    <w:rsid w:val="BED2541D"/>
    <w:rsid w:val="BEFF1AE1"/>
    <w:rsid w:val="BFB71BED"/>
    <w:rsid w:val="BFDF2DD9"/>
    <w:rsid w:val="BFFD80B1"/>
    <w:rsid w:val="BFFDBFA5"/>
    <w:rsid w:val="BFFE358C"/>
    <w:rsid w:val="C7EFE926"/>
    <w:rsid w:val="CBFC8F54"/>
    <w:rsid w:val="CFF7C399"/>
    <w:rsid w:val="D1E5FA1D"/>
    <w:rsid w:val="D3AF7DFF"/>
    <w:rsid w:val="D3F27AA6"/>
    <w:rsid w:val="D7BE5ED3"/>
    <w:rsid w:val="D7F3EBD5"/>
    <w:rsid w:val="D7F61A29"/>
    <w:rsid w:val="D7FCE74E"/>
    <w:rsid w:val="DBD7B82A"/>
    <w:rsid w:val="DBF554FE"/>
    <w:rsid w:val="DCBFB271"/>
    <w:rsid w:val="DCFFBDE1"/>
    <w:rsid w:val="DE6A5D91"/>
    <w:rsid w:val="DEE73B07"/>
    <w:rsid w:val="DF3F34A4"/>
    <w:rsid w:val="DFEC4234"/>
    <w:rsid w:val="DFFFA567"/>
    <w:rsid w:val="E3D3DC36"/>
    <w:rsid w:val="E55BB75A"/>
    <w:rsid w:val="E5793BE4"/>
    <w:rsid w:val="E5DF9307"/>
    <w:rsid w:val="E71E652B"/>
    <w:rsid w:val="E83A3471"/>
    <w:rsid w:val="E9B5128A"/>
    <w:rsid w:val="EACF6D55"/>
    <w:rsid w:val="EBFED9BE"/>
    <w:rsid w:val="ED3F8325"/>
    <w:rsid w:val="EDA5D7E9"/>
    <w:rsid w:val="EDB56EA1"/>
    <w:rsid w:val="EEC61BF6"/>
    <w:rsid w:val="EF7B0B0A"/>
    <w:rsid w:val="EFAC2106"/>
    <w:rsid w:val="EFEF158A"/>
    <w:rsid w:val="EFF98C89"/>
    <w:rsid w:val="EFFBE330"/>
    <w:rsid w:val="F14E1DD5"/>
    <w:rsid w:val="F2E392DA"/>
    <w:rsid w:val="F3C77402"/>
    <w:rsid w:val="F57FD7F6"/>
    <w:rsid w:val="F643F4D0"/>
    <w:rsid w:val="F6DE3287"/>
    <w:rsid w:val="F6ED98C2"/>
    <w:rsid w:val="F6FDAA2A"/>
    <w:rsid w:val="F74F7FB6"/>
    <w:rsid w:val="F7D838E1"/>
    <w:rsid w:val="F7F20B90"/>
    <w:rsid w:val="F7FF7F12"/>
    <w:rsid w:val="FABF9D7B"/>
    <w:rsid w:val="FAF36587"/>
    <w:rsid w:val="FAFB985E"/>
    <w:rsid w:val="FAFD9DAF"/>
    <w:rsid w:val="FB7F1FFA"/>
    <w:rsid w:val="FB7F7958"/>
    <w:rsid w:val="FB7FCE95"/>
    <w:rsid w:val="FBB10E48"/>
    <w:rsid w:val="FBB79DF5"/>
    <w:rsid w:val="FBDFCC4D"/>
    <w:rsid w:val="FBFD5369"/>
    <w:rsid w:val="FBFF5A5B"/>
    <w:rsid w:val="FBFFBDD7"/>
    <w:rsid w:val="FC3BD78F"/>
    <w:rsid w:val="FC9A1EE1"/>
    <w:rsid w:val="FCBF5306"/>
    <w:rsid w:val="FCF654FA"/>
    <w:rsid w:val="FD16328B"/>
    <w:rsid w:val="FD5F286C"/>
    <w:rsid w:val="FDB0D204"/>
    <w:rsid w:val="FDDFE2C3"/>
    <w:rsid w:val="FDF51F3A"/>
    <w:rsid w:val="FE37307D"/>
    <w:rsid w:val="FE3BFE21"/>
    <w:rsid w:val="FECE91F0"/>
    <w:rsid w:val="FEDF458F"/>
    <w:rsid w:val="FEEBC550"/>
    <w:rsid w:val="FEEF0443"/>
    <w:rsid w:val="FEF33D1A"/>
    <w:rsid w:val="FEF734D0"/>
    <w:rsid w:val="FEFF9E4C"/>
    <w:rsid w:val="FF6DFD16"/>
    <w:rsid w:val="FF952993"/>
    <w:rsid w:val="FFBF5D4F"/>
    <w:rsid w:val="FFBFB4D5"/>
    <w:rsid w:val="FFBFE80A"/>
    <w:rsid w:val="FFD729D9"/>
    <w:rsid w:val="FFDAF10E"/>
    <w:rsid w:val="FFE7C930"/>
    <w:rsid w:val="FFEB9D31"/>
    <w:rsid w:val="FFEF1613"/>
    <w:rsid w:val="FFF2D579"/>
    <w:rsid w:val="FFFA30C5"/>
    <w:rsid w:val="FFFBBE22"/>
    <w:rsid w:val="FFFDD562"/>
    <w:rsid w:val="FFFEBF55"/>
    <w:rsid w:val="FFFF2F2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ocked="1"/>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locked/>
    <w:uiPriority w:val="0"/>
    <w:pPr>
      <w:keepNext/>
      <w:keepLines/>
      <w:spacing w:before="340" w:beforeLines="0" w:beforeAutospacing="0" w:after="330" w:afterLines="0" w:afterAutospacing="0" w:line="576" w:lineRule="auto"/>
      <w:outlineLvl w:val="0"/>
    </w:pPr>
    <w:rPr>
      <w:b/>
      <w:kern w:val="44"/>
      <w:sz w:val="4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Document Map"/>
    <w:basedOn w:val="1"/>
    <w:link w:val="23"/>
    <w:qFormat/>
    <w:uiPriority w:val="0"/>
    <w:rPr>
      <w:rFonts w:ascii="宋体"/>
      <w:sz w:val="18"/>
      <w:szCs w:val="18"/>
    </w:rPr>
  </w:style>
  <w:style w:type="paragraph" w:styleId="4">
    <w:name w:val="annotation text"/>
    <w:basedOn w:val="1"/>
    <w:link w:val="20"/>
    <w:qFormat/>
    <w:uiPriority w:val="0"/>
    <w:pPr>
      <w:jc w:val="left"/>
    </w:pPr>
  </w:style>
  <w:style w:type="paragraph" w:styleId="5">
    <w:name w:val="Balloon Text"/>
    <w:basedOn w:val="1"/>
    <w:link w:val="22"/>
    <w:qFormat/>
    <w:uiPriority w:val="0"/>
    <w:rPr>
      <w:sz w:val="18"/>
      <w:szCs w:val="18"/>
    </w:rPr>
  </w:style>
  <w:style w:type="paragraph" w:styleId="6">
    <w:name w:val="footer"/>
    <w:basedOn w:val="1"/>
    <w:link w:val="17"/>
    <w:qFormat/>
    <w:uiPriority w:val="99"/>
    <w:pPr>
      <w:tabs>
        <w:tab w:val="center" w:pos="4153"/>
        <w:tab w:val="right" w:pos="8306"/>
      </w:tabs>
      <w:snapToGrid w:val="0"/>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link w:val="19"/>
    <w:qFormat/>
    <w:uiPriority w:val="0"/>
    <w:pPr>
      <w:snapToGrid w:val="0"/>
      <w:jc w:val="left"/>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4"/>
    <w:next w:val="4"/>
    <w:link w:val="21"/>
    <w:qFormat/>
    <w:uiPriority w:val="0"/>
    <w:rPr>
      <w:b/>
      <w:bCs/>
    </w:rPr>
  </w:style>
  <w:style w:type="character" w:styleId="13">
    <w:name w:val="page number"/>
    <w:basedOn w:val="12"/>
    <w:qFormat/>
    <w:uiPriority w:val="0"/>
    <w:rPr>
      <w:rFonts w:cs="Times New Roman"/>
    </w:rPr>
  </w:style>
  <w:style w:type="character" w:styleId="14">
    <w:name w:val="Hyperlink"/>
    <w:basedOn w:val="12"/>
    <w:qFormat/>
    <w:uiPriority w:val="0"/>
    <w:rPr>
      <w:color w:val="0000FF"/>
      <w:u w:val="single"/>
    </w:rPr>
  </w:style>
  <w:style w:type="character" w:styleId="15">
    <w:name w:val="annotation reference"/>
    <w:basedOn w:val="12"/>
    <w:qFormat/>
    <w:uiPriority w:val="0"/>
    <w:rPr>
      <w:sz w:val="21"/>
      <w:szCs w:val="21"/>
    </w:rPr>
  </w:style>
  <w:style w:type="character" w:styleId="16">
    <w:name w:val="footnote reference"/>
    <w:basedOn w:val="12"/>
    <w:qFormat/>
    <w:uiPriority w:val="0"/>
    <w:rPr>
      <w:vertAlign w:val="superscript"/>
    </w:rPr>
  </w:style>
  <w:style w:type="character" w:customStyle="1" w:styleId="17">
    <w:name w:val=" Char Char6"/>
    <w:basedOn w:val="12"/>
    <w:link w:val="6"/>
    <w:qFormat/>
    <w:locked/>
    <w:uiPriority w:val="99"/>
    <w:rPr>
      <w:rFonts w:ascii="Calibri" w:hAnsi="Calibri" w:cs="Calibri"/>
      <w:sz w:val="18"/>
      <w:szCs w:val="18"/>
    </w:rPr>
  </w:style>
  <w:style w:type="character" w:customStyle="1" w:styleId="18">
    <w:name w:val=" Char Char5"/>
    <w:basedOn w:val="12"/>
    <w:link w:val="7"/>
    <w:qFormat/>
    <w:uiPriority w:val="0"/>
    <w:rPr>
      <w:rFonts w:ascii="Calibri" w:hAnsi="Calibri" w:cs="Calibri"/>
      <w:kern w:val="2"/>
      <w:sz w:val="18"/>
      <w:szCs w:val="18"/>
    </w:rPr>
  </w:style>
  <w:style w:type="character" w:customStyle="1" w:styleId="19">
    <w:name w:val=" Char Char4"/>
    <w:basedOn w:val="12"/>
    <w:link w:val="8"/>
    <w:qFormat/>
    <w:uiPriority w:val="0"/>
    <w:rPr>
      <w:rFonts w:ascii="Calibri" w:hAnsi="Calibri" w:cs="Calibri"/>
      <w:kern w:val="2"/>
      <w:sz w:val="18"/>
      <w:szCs w:val="18"/>
    </w:rPr>
  </w:style>
  <w:style w:type="character" w:customStyle="1" w:styleId="20">
    <w:name w:val=" Char Char3"/>
    <w:basedOn w:val="12"/>
    <w:link w:val="4"/>
    <w:qFormat/>
    <w:uiPriority w:val="0"/>
    <w:rPr>
      <w:rFonts w:ascii="Calibri" w:hAnsi="Calibri" w:cs="Calibri"/>
      <w:kern w:val="2"/>
      <w:sz w:val="21"/>
      <w:szCs w:val="21"/>
    </w:rPr>
  </w:style>
  <w:style w:type="character" w:customStyle="1" w:styleId="21">
    <w:name w:val=" Char Char2"/>
    <w:basedOn w:val="20"/>
    <w:link w:val="10"/>
    <w:qFormat/>
    <w:uiPriority w:val="0"/>
    <w:rPr>
      <w:b/>
      <w:bCs/>
    </w:rPr>
  </w:style>
  <w:style w:type="character" w:customStyle="1" w:styleId="22">
    <w:name w:val=" Char Char1"/>
    <w:basedOn w:val="12"/>
    <w:link w:val="5"/>
    <w:qFormat/>
    <w:uiPriority w:val="0"/>
    <w:rPr>
      <w:rFonts w:ascii="Calibri" w:hAnsi="Calibri" w:cs="Calibri"/>
      <w:kern w:val="2"/>
      <w:sz w:val="18"/>
      <w:szCs w:val="18"/>
    </w:rPr>
  </w:style>
  <w:style w:type="character" w:customStyle="1" w:styleId="23">
    <w:name w:val=" Char Char"/>
    <w:basedOn w:val="12"/>
    <w:link w:val="3"/>
    <w:qFormat/>
    <w:uiPriority w:val="0"/>
    <w:rPr>
      <w:rFonts w:ascii="宋体" w:hAnsi="Calibri" w:cs="Calibri"/>
      <w:kern w:val="2"/>
      <w:sz w:val="18"/>
      <w:szCs w:val="18"/>
    </w:rPr>
  </w:style>
  <w:style w:type="paragraph" w:customStyle="1" w:styleId="24">
    <w:name w:val="项目摘要表"/>
    <w:basedOn w:val="1"/>
    <w:qFormat/>
    <w:uiPriority w:val="0"/>
    <w:pPr>
      <w:ind w:firstLine="0" w:firstLineChars="0"/>
      <w:jc w:val="center"/>
    </w:pPr>
    <w:rPr>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fgw</Company>
  <Pages>14</Pages>
  <Words>6574</Words>
  <Characters>6626</Characters>
  <Lines>58</Lines>
  <Paragraphs>16</Paragraphs>
  <TotalTime>1</TotalTime>
  <ScaleCrop>false</ScaleCrop>
  <LinksUpToDate>false</LinksUpToDate>
  <CharactersWithSpaces>6865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2019-10-16T09:10:00Z</dcterms:created>
  <dc:creator>Administrator</dc:creator>
  <cp:lastModifiedBy>晔大王</cp:lastModifiedBy>
  <cp:lastPrinted>2024-01-05T01:26:00Z</cp:lastPrinted>
  <dcterms:modified xsi:type="dcterms:W3CDTF">2025-09-26T06:19:04Z</dcterms:modified>
  <dc:title>辽宁省固定资产投资项目节能审查实施办法</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eyJoZGlkIjoiOGFiOGQ2OTdmZjg2NmJlMTJkNGI5ODUwNzQxMTdiYmUiLCJ1c2VySWQiOiI0MTY1Njg5MDcifQ==</vt:lpwstr>
  </property>
  <property fmtid="{D5CDD505-2E9C-101B-9397-08002B2CF9AE}" pid="4" name="ICV">
    <vt:lpwstr>A7C7BB0C2D1C49AEA7040420CA547F47_13</vt:lpwstr>
  </property>
</Properties>
</file>