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after="156" w:afterLines="50"/>
        <w:jc w:val="both"/>
        <w:rPr>
          <w:rFonts w:hint="eastAsia" w:ascii="Times New Roman" w:hAnsi="Times New Roman" w:eastAsia="方正小标宋简体" w:cs="Times New Roman"/>
          <w:color w:val="000000"/>
          <w:sz w:val="36"/>
          <w:szCs w:val="36"/>
          <w:lang w:eastAsia="zh-CN" w:bidi="ar-SA"/>
        </w:rPr>
      </w:pPr>
      <w:bookmarkStart w:id="0" w:name="_GoBack"/>
      <w:bookmarkEnd w:id="0"/>
    </w:p>
    <w:p>
      <w:pPr>
        <w:adjustRightInd w:val="0"/>
        <w:snapToGrid w:val="0"/>
        <w:spacing w:after="156" w:afterLines="50"/>
        <w:jc w:val="center"/>
        <w:rPr>
          <w:rFonts w:ascii="Times New Roman" w:hAnsi="Times New Roman" w:eastAsia="方正小标宋简体" w:cs="Times New Roman"/>
          <w:color w:val="000000"/>
          <w:sz w:val="36"/>
          <w:szCs w:val="36"/>
          <w:lang w:bidi="ar-SA"/>
        </w:rPr>
      </w:pPr>
      <w:r>
        <w:rPr>
          <w:rFonts w:hint="eastAsia" w:ascii="Times New Roman" w:hAnsi="Times New Roman" w:eastAsia="方正小标宋简体" w:cs="Times New Roman"/>
          <w:color w:val="000000"/>
          <w:sz w:val="36"/>
          <w:szCs w:val="36"/>
          <w:lang w:eastAsia="zh-CN" w:bidi="ar-SA"/>
        </w:rPr>
        <w:t>葫芦岛市</w:t>
      </w:r>
      <w:r>
        <w:rPr>
          <w:rFonts w:hint="eastAsia" w:ascii="Times New Roman" w:hAnsi="Times New Roman" w:eastAsia="方正小标宋简体" w:cs="Times New Roman"/>
          <w:color w:val="000000"/>
          <w:sz w:val="36"/>
          <w:szCs w:val="36"/>
          <w:lang w:bidi="ar-SA"/>
        </w:rPr>
        <w:t>国动办系统涉企</w:t>
      </w:r>
      <w:r>
        <w:rPr>
          <w:rFonts w:ascii="Times New Roman" w:hAnsi="Times New Roman" w:eastAsia="方正小标宋简体" w:cs="Times New Roman"/>
          <w:color w:val="000000"/>
          <w:sz w:val="36"/>
          <w:szCs w:val="36"/>
          <w:lang w:bidi="ar-SA"/>
        </w:rPr>
        <w:t>行政</w:t>
      </w:r>
      <w:r>
        <w:rPr>
          <w:rFonts w:hint="eastAsia" w:ascii="Times New Roman" w:hAnsi="Times New Roman" w:eastAsia="方正小标宋简体" w:cs="Times New Roman"/>
          <w:color w:val="000000"/>
          <w:sz w:val="36"/>
          <w:szCs w:val="36"/>
          <w:lang w:bidi="ar-SA"/>
        </w:rPr>
        <w:t>检查</w:t>
      </w:r>
      <w:r>
        <w:rPr>
          <w:rFonts w:ascii="Times New Roman" w:hAnsi="Times New Roman" w:eastAsia="方正小标宋简体" w:cs="Times New Roman"/>
          <w:color w:val="000000"/>
          <w:sz w:val="36"/>
          <w:szCs w:val="36"/>
          <w:lang w:bidi="ar-SA"/>
        </w:rPr>
        <w:t>事项清</w:t>
      </w:r>
      <w:r>
        <w:rPr>
          <w:rFonts w:hint="eastAsia" w:ascii="Times New Roman" w:hAnsi="Times New Roman" w:eastAsia="方正小标宋简体" w:cs="Times New Roman"/>
          <w:color w:val="000000"/>
          <w:sz w:val="36"/>
          <w:szCs w:val="36"/>
          <w:lang w:bidi="ar-SA"/>
        </w:rPr>
        <w:t>单</w:t>
      </w:r>
    </w:p>
    <w:tbl>
      <w:tblPr>
        <w:tblStyle w:val="3"/>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361"/>
        <w:gridCol w:w="1224"/>
        <w:gridCol w:w="1774"/>
        <w:gridCol w:w="2323"/>
        <w:gridCol w:w="2788"/>
        <w:gridCol w:w="2501"/>
        <w:gridCol w:w="1788"/>
        <w:gridCol w:w="1086"/>
        <w:gridCol w:w="647"/>
        <w:gridCol w:w="7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9" w:hRule="atLeast"/>
          <w:tblHeader/>
          <w:jc w:val="center"/>
        </w:trPr>
        <w:tc>
          <w:tcPr>
            <w:tcW w:w="360" w:type="dxa"/>
            <w:vMerge w:val="restart"/>
            <w:noWrap w:val="0"/>
            <w:vAlign w:val="center"/>
          </w:tcPr>
          <w:p>
            <w:pPr>
              <w:adjustRightInd w:val="0"/>
              <w:snapToGrid w:val="0"/>
              <w:jc w:val="center"/>
              <w:rPr>
                <w:rFonts w:hint="eastAsia" w:ascii="方正小标宋_GBK" w:hAnsi="方正小标宋_GBK" w:eastAsia="方正小标宋_GBK" w:cs="方正小标宋_GBK"/>
                <w:b w:val="0"/>
                <w:bCs/>
                <w:szCs w:val="21"/>
                <w:lang w:bidi="ar-SA"/>
              </w:rPr>
            </w:pPr>
            <w:r>
              <w:rPr>
                <w:rFonts w:hint="eastAsia" w:ascii="方正小标宋_GBK" w:hAnsi="方正小标宋_GBK" w:eastAsia="方正小标宋_GBK" w:cs="方正小标宋_GBK"/>
                <w:b w:val="0"/>
                <w:bCs/>
                <w:szCs w:val="21"/>
                <w:lang w:bidi="ar-SA"/>
              </w:rPr>
              <w:t>序号</w:t>
            </w:r>
          </w:p>
        </w:tc>
        <w:tc>
          <w:tcPr>
            <w:tcW w:w="1223" w:type="dxa"/>
            <w:vMerge w:val="restart"/>
            <w:noWrap w:val="0"/>
            <w:vAlign w:val="center"/>
          </w:tcPr>
          <w:p>
            <w:pPr>
              <w:adjustRightInd w:val="0"/>
              <w:snapToGrid w:val="0"/>
              <w:jc w:val="center"/>
              <w:rPr>
                <w:rFonts w:hint="eastAsia" w:ascii="方正小标宋_GBK" w:hAnsi="方正小标宋_GBK" w:eastAsia="方正小标宋_GBK" w:cs="方正小标宋_GBK"/>
                <w:b w:val="0"/>
                <w:bCs/>
                <w:szCs w:val="21"/>
                <w:lang w:bidi="ar-SA"/>
              </w:rPr>
            </w:pPr>
            <w:r>
              <w:rPr>
                <w:rFonts w:hint="eastAsia" w:ascii="方正小标宋_GBK" w:hAnsi="方正小标宋_GBK" w:eastAsia="方正小标宋_GBK" w:cs="方正小标宋_GBK"/>
                <w:b w:val="0"/>
                <w:bCs/>
                <w:szCs w:val="21"/>
                <w:lang w:bidi="ar-SA"/>
              </w:rPr>
              <w:t>检查事项</w:t>
            </w:r>
          </w:p>
          <w:p>
            <w:pPr>
              <w:adjustRightInd w:val="0"/>
              <w:snapToGrid w:val="0"/>
              <w:jc w:val="center"/>
              <w:rPr>
                <w:rFonts w:hint="eastAsia" w:ascii="方正小标宋_GBK" w:hAnsi="方正小标宋_GBK" w:eastAsia="方正小标宋_GBK" w:cs="方正小标宋_GBK"/>
                <w:b w:val="0"/>
                <w:bCs/>
                <w:szCs w:val="21"/>
                <w:lang w:bidi="ar-SA"/>
              </w:rPr>
            </w:pPr>
            <w:r>
              <w:rPr>
                <w:rFonts w:hint="eastAsia" w:ascii="方正小标宋_GBK" w:hAnsi="方正小标宋_GBK" w:eastAsia="方正小标宋_GBK" w:cs="方正小标宋_GBK"/>
                <w:b w:val="0"/>
                <w:bCs/>
                <w:szCs w:val="21"/>
                <w:lang w:bidi="ar-SA"/>
              </w:rPr>
              <w:t>名</w:t>
            </w:r>
            <w:r>
              <w:rPr>
                <w:rFonts w:hint="eastAsia" w:ascii="方正小标宋_GBK" w:hAnsi="方正小标宋_GBK" w:eastAsia="方正小标宋_GBK" w:cs="方正小标宋_GBK"/>
                <w:b w:val="0"/>
                <w:bCs/>
                <w:szCs w:val="21"/>
                <w:lang w:val="en-US" w:eastAsia="zh-CN" w:bidi="ar-SA"/>
              </w:rPr>
              <w:t xml:space="preserve">   </w:t>
            </w:r>
            <w:r>
              <w:rPr>
                <w:rFonts w:hint="eastAsia" w:ascii="方正小标宋_GBK" w:hAnsi="方正小标宋_GBK" w:eastAsia="方正小标宋_GBK" w:cs="方正小标宋_GBK"/>
                <w:b w:val="0"/>
                <w:bCs/>
                <w:szCs w:val="21"/>
                <w:lang w:bidi="ar-SA"/>
              </w:rPr>
              <w:t>称</w:t>
            </w:r>
          </w:p>
        </w:tc>
        <w:tc>
          <w:tcPr>
            <w:tcW w:w="11173" w:type="dxa"/>
            <w:gridSpan w:val="5"/>
            <w:noWrap w:val="0"/>
            <w:vAlign w:val="center"/>
          </w:tcPr>
          <w:p>
            <w:pPr>
              <w:adjustRightInd w:val="0"/>
              <w:snapToGrid w:val="0"/>
              <w:jc w:val="center"/>
              <w:rPr>
                <w:rFonts w:hint="eastAsia" w:ascii="方正小标宋_GBK" w:hAnsi="方正小标宋_GBK" w:eastAsia="方正小标宋_GBK" w:cs="方正小标宋_GBK"/>
                <w:b w:val="0"/>
                <w:bCs/>
                <w:szCs w:val="21"/>
                <w:lang w:bidi="ar-SA"/>
              </w:rPr>
            </w:pPr>
            <w:r>
              <w:rPr>
                <w:rFonts w:hint="eastAsia" w:ascii="方正小标宋_GBK" w:hAnsi="方正小标宋_GBK" w:eastAsia="方正小标宋_GBK" w:cs="方正小标宋_GBK"/>
                <w:b w:val="0"/>
                <w:bCs/>
                <w:szCs w:val="21"/>
                <w:lang w:bidi="ar-SA"/>
              </w:rPr>
              <w:t>检查依据</w:t>
            </w:r>
          </w:p>
        </w:tc>
        <w:tc>
          <w:tcPr>
            <w:tcW w:w="1087" w:type="dxa"/>
            <w:vMerge w:val="restart"/>
            <w:noWrap w:val="0"/>
            <w:vAlign w:val="center"/>
          </w:tcPr>
          <w:p>
            <w:pPr>
              <w:adjustRightInd w:val="0"/>
              <w:snapToGrid w:val="0"/>
              <w:jc w:val="center"/>
              <w:rPr>
                <w:rFonts w:hint="eastAsia" w:ascii="方正小标宋_GBK" w:hAnsi="方正小标宋_GBK" w:eastAsia="方正小标宋_GBK" w:cs="方正小标宋_GBK"/>
                <w:b w:val="0"/>
                <w:bCs/>
                <w:szCs w:val="21"/>
                <w:lang w:bidi="ar-SA"/>
              </w:rPr>
            </w:pPr>
            <w:r>
              <w:rPr>
                <w:rFonts w:hint="eastAsia" w:ascii="方正小标宋_GBK" w:hAnsi="方正小标宋_GBK" w:eastAsia="方正小标宋_GBK" w:cs="方正小标宋_GBK"/>
                <w:b w:val="0"/>
                <w:bCs/>
                <w:szCs w:val="21"/>
                <w:lang w:bidi="ar-SA"/>
              </w:rPr>
              <w:t>检查主体（含实施层级）</w:t>
            </w:r>
          </w:p>
        </w:tc>
        <w:tc>
          <w:tcPr>
            <w:tcW w:w="648" w:type="dxa"/>
            <w:vMerge w:val="restart"/>
            <w:noWrap w:val="0"/>
            <w:vAlign w:val="center"/>
          </w:tcPr>
          <w:p>
            <w:pPr>
              <w:adjustRightInd w:val="0"/>
              <w:snapToGrid w:val="0"/>
              <w:jc w:val="center"/>
              <w:rPr>
                <w:rFonts w:hint="eastAsia" w:ascii="方正小标宋_GBK" w:hAnsi="方正小标宋_GBK" w:eastAsia="方正小标宋_GBK" w:cs="方正小标宋_GBK"/>
                <w:b w:val="0"/>
                <w:bCs/>
                <w:szCs w:val="21"/>
                <w:lang w:bidi="ar-SA"/>
              </w:rPr>
            </w:pPr>
            <w:r>
              <w:rPr>
                <w:rFonts w:hint="eastAsia" w:ascii="方正小标宋_GBK" w:hAnsi="方正小标宋_GBK" w:eastAsia="方正小标宋_GBK" w:cs="方正小标宋_GBK"/>
                <w:b w:val="0"/>
                <w:bCs/>
                <w:szCs w:val="21"/>
                <w:lang w:bidi="ar-SA"/>
              </w:rPr>
              <w:t>检查</w:t>
            </w:r>
          </w:p>
          <w:p>
            <w:pPr>
              <w:adjustRightInd w:val="0"/>
              <w:snapToGrid w:val="0"/>
              <w:jc w:val="center"/>
              <w:rPr>
                <w:rFonts w:hint="eastAsia" w:ascii="方正小标宋_GBK" w:hAnsi="方正小标宋_GBK" w:eastAsia="方正小标宋_GBK" w:cs="方正小标宋_GBK"/>
                <w:b w:val="0"/>
                <w:bCs/>
                <w:szCs w:val="21"/>
                <w:lang w:bidi="ar-SA"/>
              </w:rPr>
            </w:pPr>
            <w:r>
              <w:rPr>
                <w:rFonts w:hint="eastAsia" w:ascii="方正小标宋_GBK" w:hAnsi="方正小标宋_GBK" w:eastAsia="方正小标宋_GBK" w:cs="方正小标宋_GBK"/>
                <w:b w:val="0"/>
                <w:bCs/>
                <w:szCs w:val="21"/>
                <w:lang w:bidi="ar-SA"/>
              </w:rPr>
              <w:t>方式</w:t>
            </w:r>
          </w:p>
        </w:tc>
        <w:tc>
          <w:tcPr>
            <w:tcW w:w="745" w:type="dxa"/>
            <w:vMerge w:val="restart"/>
            <w:noWrap w:val="0"/>
            <w:vAlign w:val="center"/>
          </w:tcPr>
          <w:p>
            <w:pPr>
              <w:adjustRightInd w:val="0"/>
              <w:snapToGrid w:val="0"/>
              <w:jc w:val="center"/>
              <w:rPr>
                <w:rFonts w:hint="eastAsia" w:ascii="方正小标宋_GBK" w:hAnsi="方正小标宋_GBK" w:eastAsia="方正小标宋_GBK" w:cs="方正小标宋_GBK"/>
                <w:b w:val="0"/>
                <w:bCs/>
                <w:szCs w:val="21"/>
                <w:lang w:bidi="ar-SA"/>
              </w:rPr>
            </w:pPr>
            <w:r>
              <w:rPr>
                <w:rFonts w:hint="eastAsia" w:ascii="方正小标宋_GBK" w:hAnsi="方正小标宋_GBK" w:eastAsia="方正小标宋_GBK" w:cs="方正小标宋_GBK"/>
                <w:b w:val="0"/>
                <w:bCs/>
                <w:szCs w:val="21"/>
                <w:lang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1" w:hRule="atLeast"/>
          <w:tblHeader/>
          <w:jc w:val="center"/>
        </w:trPr>
        <w:tc>
          <w:tcPr>
            <w:tcW w:w="360" w:type="dxa"/>
            <w:vMerge w:val="continue"/>
            <w:noWrap w:val="0"/>
            <w:vAlign w:val="center"/>
          </w:tcPr>
          <w:p/>
        </w:tc>
        <w:tc>
          <w:tcPr>
            <w:tcW w:w="1223" w:type="dxa"/>
            <w:vMerge w:val="continue"/>
            <w:noWrap w:val="0"/>
            <w:vAlign w:val="center"/>
          </w:tcPr>
          <w:p/>
        </w:tc>
        <w:tc>
          <w:tcPr>
            <w:tcW w:w="1774" w:type="dxa"/>
            <w:noWrap w:val="0"/>
            <w:vAlign w:val="center"/>
          </w:tcPr>
          <w:p>
            <w:pPr>
              <w:adjustRightInd w:val="0"/>
              <w:snapToGrid w:val="0"/>
              <w:jc w:val="center"/>
              <w:rPr>
                <w:rFonts w:hint="eastAsia" w:ascii="方正小标宋_GBK" w:hAnsi="方正小标宋_GBK" w:eastAsia="方正小标宋_GBK" w:cs="方正小标宋_GBK"/>
                <w:b w:val="0"/>
                <w:bCs/>
                <w:szCs w:val="21"/>
                <w:lang w:bidi="ar-SA"/>
              </w:rPr>
            </w:pPr>
            <w:r>
              <w:rPr>
                <w:rFonts w:hint="eastAsia" w:ascii="方正小标宋_GBK" w:hAnsi="方正小标宋_GBK" w:eastAsia="方正小标宋_GBK" w:cs="方正小标宋_GBK"/>
                <w:b w:val="0"/>
                <w:bCs/>
                <w:szCs w:val="21"/>
                <w:lang w:bidi="ar-SA"/>
              </w:rPr>
              <w:t>法律</w:t>
            </w:r>
          </w:p>
        </w:tc>
        <w:tc>
          <w:tcPr>
            <w:tcW w:w="2324" w:type="dxa"/>
            <w:noWrap w:val="0"/>
            <w:vAlign w:val="center"/>
          </w:tcPr>
          <w:p>
            <w:pPr>
              <w:adjustRightInd w:val="0"/>
              <w:snapToGrid w:val="0"/>
              <w:jc w:val="center"/>
              <w:rPr>
                <w:rFonts w:hint="eastAsia" w:ascii="方正小标宋_GBK" w:hAnsi="方正小标宋_GBK" w:eastAsia="方正小标宋_GBK" w:cs="方正小标宋_GBK"/>
                <w:b w:val="0"/>
                <w:bCs/>
                <w:szCs w:val="21"/>
                <w:lang w:bidi="ar-SA"/>
              </w:rPr>
            </w:pPr>
            <w:r>
              <w:rPr>
                <w:rFonts w:hint="eastAsia" w:ascii="方正小标宋_GBK" w:hAnsi="方正小标宋_GBK" w:eastAsia="方正小标宋_GBK" w:cs="方正小标宋_GBK"/>
                <w:b w:val="0"/>
                <w:bCs/>
                <w:szCs w:val="21"/>
                <w:lang w:bidi="ar-SA"/>
              </w:rPr>
              <w:t>行政法规</w:t>
            </w:r>
          </w:p>
        </w:tc>
        <w:tc>
          <w:tcPr>
            <w:tcW w:w="2787" w:type="dxa"/>
            <w:noWrap w:val="0"/>
            <w:vAlign w:val="center"/>
          </w:tcPr>
          <w:p>
            <w:pPr>
              <w:adjustRightInd w:val="0"/>
              <w:snapToGrid w:val="0"/>
              <w:jc w:val="center"/>
              <w:rPr>
                <w:rFonts w:hint="eastAsia" w:ascii="方正小标宋_GBK" w:hAnsi="方正小标宋_GBK" w:eastAsia="方正小标宋_GBK" w:cs="方正小标宋_GBK"/>
                <w:b w:val="0"/>
                <w:bCs/>
                <w:szCs w:val="21"/>
                <w:lang w:bidi="ar-SA"/>
              </w:rPr>
            </w:pPr>
            <w:r>
              <w:rPr>
                <w:rFonts w:hint="eastAsia" w:ascii="方正小标宋_GBK" w:hAnsi="方正小标宋_GBK" w:eastAsia="方正小标宋_GBK" w:cs="方正小标宋_GBK"/>
                <w:b w:val="0"/>
                <w:bCs/>
                <w:szCs w:val="21"/>
                <w:lang w:bidi="ar-SA"/>
              </w:rPr>
              <w:t>地方性法规</w:t>
            </w:r>
          </w:p>
        </w:tc>
        <w:tc>
          <w:tcPr>
            <w:tcW w:w="2500" w:type="dxa"/>
            <w:noWrap w:val="0"/>
            <w:vAlign w:val="center"/>
          </w:tcPr>
          <w:p>
            <w:pPr>
              <w:adjustRightInd w:val="0"/>
              <w:snapToGrid w:val="0"/>
              <w:jc w:val="center"/>
              <w:rPr>
                <w:rFonts w:hint="eastAsia" w:ascii="方正小标宋_GBK" w:hAnsi="方正小标宋_GBK" w:eastAsia="方正小标宋_GBK" w:cs="方正小标宋_GBK"/>
                <w:b w:val="0"/>
                <w:bCs/>
                <w:szCs w:val="21"/>
                <w:lang w:bidi="ar-SA"/>
              </w:rPr>
            </w:pPr>
            <w:r>
              <w:rPr>
                <w:rFonts w:hint="eastAsia" w:ascii="方正小标宋_GBK" w:hAnsi="方正小标宋_GBK" w:eastAsia="方正小标宋_GBK" w:cs="方正小标宋_GBK"/>
                <w:b w:val="0"/>
                <w:bCs/>
                <w:szCs w:val="21"/>
                <w:lang w:bidi="ar-SA"/>
              </w:rPr>
              <w:t>部委规章</w:t>
            </w:r>
          </w:p>
        </w:tc>
        <w:tc>
          <w:tcPr>
            <w:tcW w:w="1788" w:type="dxa"/>
            <w:noWrap w:val="0"/>
            <w:vAlign w:val="center"/>
          </w:tcPr>
          <w:p>
            <w:pPr>
              <w:adjustRightInd w:val="0"/>
              <w:snapToGrid w:val="0"/>
              <w:jc w:val="center"/>
              <w:rPr>
                <w:rFonts w:hint="eastAsia" w:ascii="方正小标宋_GBK" w:hAnsi="方正小标宋_GBK" w:eastAsia="方正小标宋_GBK" w:cs="方正小标宋_GBK"/>
                <w:b w:val="0"/>
                <w:bCs/>
                <w:szCs w:val="21"/>
                <w:lang w:bidi="ar-SA"/>
              </w:rPr>
            </w:pPr>
            <w:r>
              <w:rPr>
                <w:rFonts w:hint="eastAsia" w:ascii="方正小标宋_GBK" w:hAnsi="方正小标宋_GBK" w:eastAsia="方正小标宋_GBK" w:cs="方正小标宋_GBK"/>
                <w:b w:val="0"/>
                <w:bCs/>
                <w:szCs w:val="21"/>
                <w:lang w:bidi="ar-SA"/>
              </w:rPr>
              <w:t>政府规章</w:t>
            </w:r>
          </w:p>
        </w:tc>
        <w:tc>
          <w:tcPr>
            <w:tcW w:w="1087" w:type="dxa"/>
            <w:vMerge w:val="continue"/>
            <w:noWrap w:val="0"/>
            <w:vAlign w:val="center"/>
          </w:tcPr>
          <w:p/>
        </w:tc>
        <w:tc>
          <w:tcPr>
            <w:tcW w:w="648" w:type="dxa"/>
            <w:vMerge w:val="continue"/>
            <w:noWrap w:val="0"/>
            <w:vAlign w:val="center"/>
          </w:tcPr>
          <w:p/>
        </w:tc>
        <w:tc>
          <w:tcPr>
            <w:tcW w:w="745" w:type="dxa"/>
            <w:vMerge w:val="continue"/>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610" w:hRule="atLeast"/>
          <w:tblHeader/>
          <w:jc w:val="center"/>
        </w:trPr>
        <w:tc>
          <w:tcPr>
            <w:tcW w:w="360" w:type="dxa"/>
            <w:noWrap w:val="0"/>
            <w:vAlign w:val="center"/>
          </w:tcPr>
          <w:p>
            <w:pPr>
              <w:adjustRightInd w:val="0"/>
              <w:snapToGrid w:val="0"/>
              <w:jc w:val="center"/>
              <w:rPr>
                <w:rFonts w:hint="eastAsia" w:ascii="仿宋_GB2312" w:eastAsia="仿宋_GB2312" w:cs="仿宋_GB2312"/>
                <w:szCs w:val="21"/>
                <w:lang w:bidi="ar-SA"/>
              </w:rPr>
            </w:pPr>
            <w:r>
              <w:rPr>
                <w:rFonts w:hint="eastAsia" w:ascii="仿宋_GB2312" w:eastAsia="仿宋_GB2312" w:cs="仿宋_GB2312"/>
                <w:szCs w:val="21"/>
                <w:lang w:bidi="ar-SA"/>
              </w:rPr>
              <w:t>1</w:t>
            </w:r>
          </w:p>
        </w:tc>
        <w:tc>
          <w:tcPr>
            <w:tcW w:w="1223" w:type="dxa"/>
            <w:noWrap w:val="0"/>
            <w:vAlign w:val="center"/>
          </w:tcPr>
          <w:p>
            <w:pPr>
              <w:adjustRightInd w:val="0"/>
              <w:snapToGrid w:val="0"/>
              <w:rPr>
                <w:rFonts w:hint="eastAsia" w:ascii="仿宋_GB2312" w:eastAsia="仿宋_GB2312" w:cs="仿宋_GB2312"/>
                <w:szCs w:val="21"/>
                <w:lang w:bidi="ar-SA"/>
              </w:rPr>
            </w:pPr>
            <w:r>
              <w:rPr>
                <w:rFonts w:hint="eastAsia" w:ascii="仿宋_GB2312" w:eastAsia="仿宋_GB2312" w:cs="仿宋_GB2312"/>
                <w:szCs w:val="21"/>
                <w:lang w:bidi="ar-SA"/>
              </w:rPr>
              <w:t>对人防工程施工质量的行政检查</w:t>
            </w:r>
          </w:p>
        </w:tc>
        <w:tc>
          <w:tcPr>
            <w:tcW w:w="1774" w:type="dxa"/>
            <w:noWrap w:val="0"/>
            <w:vAlign w:val="center"/>
          </w:tcPr>
          <w:p>
            <w:pPr>
              <w:adjustRightInd w:val="0"/>
              <w:snapToGrid w:val="0"/>
              <w:rPr>
                <w:rFonts w:hint="eastAsia" w:ascii="仿宋_GB2312" w:eastAsia="仿宋_GB2312" w:cs="仿宋_GB2312"/>
                <w:bCs w:val="0"/>
                <w:szCs w:val="21"/>
                <w:lang w:bidi="ar-SA"/>
              </w:rPr>
            </w:pPr>
            <w:r>
              <w:rPr>
                <w:rFonts w:hint="eastAsia" w:ascii="仿宋_GB2312" w:eastAsia="仿宋_GB2312" w:cs="仿宋_GB2312"/>
                <w:bCs w:val="0"/>
                <w:szCs w:val="21"/>
                <w:lang w:bidi="ar-SA"/>
              </w:rPr>
              <w:t>【法律】《中华人民共和国人民防空法》（2009年8月27日修订）</w:t>
            </w:r>
          </w:p>
          <w:p>
            <w:pPr>
              <w:adjustRightInd w:val="0"/>
              <w:snapToGrid w:val="0"/>
              <w:rPr>
                <w:rFonts w:hint="eastAsia" w:ascii="仿宋_GB2312" w:eastAsia="仿宋_GB2312" w:cs="仿宋_GB2312"/>
                <w:bCs w:val="0"/>
                <w:szCs w:val="21"/>
                <w:lang w:bidi="ar-SA"/>
              </w:rPr>
            </w:pPr>
            <w:r>
              <w:rPr>
                <w:rFonts w:hint="eastAsia" w:ascii="仿宋_GB2312" w:eastAsia="仿宋_GB2312" w:cs="仿宋_GB2312"/>
                <w:bCs w:val="0"/>
                <w:szCs w:val="21"/>
                <w:lang w:bidi="ar-SA"/>
              </w:rPr>
              <w:t>第七条第三款 县级以上地方各级人民政府人民防空主管部门管理本行政区域的人民防空工作。</w:t>
            </w:r>
          </w:p>
          <w:p>
            <w:pPr>
              <w:adjustRightInd w:val="0"/>
              <w:snapToGrid w:val="0"/>
              <w:rPr>
                <w:rFonts w:hint="eastAsia" w:ascii="仿宋_GB2312" w:eastAsia="仿宋_GB2312" w:cs="仿宋_GB2312"/>
                <w:color w:val="FF0000"/>
                <w:szCs w:val="21"/>
                <w:lang w:bidi="ar-SA"/>
              </w:rPr>
            </w:pPr>
            <w:r>
              <w:rPr>
                <w:rFonts w:hint="eastAsia" w:ascii="仿宋_GB2312" w:eastAsia="仿宋_GB2312" w:cs="仿宋_GB2312"/>
                <w:bCs w:val="0"/>
                <w:szCs w:val="21"/>
                <w:lang w:bidi="ar-SA"/>
              </w:rPr>
              <w:t>第二十三条第一款 人民防空工程建设的设计、施工、质量必须符合国家规定的防护标准和质量标准。</w:t>
            </w:r>
          </w:p>
        </w:tc>
        <w:tc>
          <w:tcPr>
            <w:tcW w:w="2324" w:type="dxa"/>
            <w:noWrap w:val="0"/>
            <w:vAlign w:val="center"/>
          </w:tcPr>
          <w:p>
            <w:pPr>
              <w:adjustRightInd w:val="0"/>
              <w:snapToGrid w:val="0"/>
              <w:rPr>
                <w:rFonts w:hint="eastAsia" w:ascii="仿宋_GB2312" w:eastAsia="仿宋_GB2312" w:cs="仿宋_GB2312"/>
                <w:szCs w:val="21"/>
                <w:lang w:bidi="ar-SA"/>
              </w:rPr>
            </w:pPr>
            <w:r>
              <w:rPr>
                <w:rFonts w:hint="eastAsia" w:ascii="仿宋_GB2312" w:eastAsia="仿宋_GB2312" w:cs="仿宋_GB2312"/>
                <w:szCs w:val="21"/>
                <w:lang w:bidi="ar-SA"/>
              </w:rPr>
              <w:t>【行政法规】《建设工程质量管理条例》(2019年4月23日修订)</w:t>
            </w:r>
          </w:p>
          <w:p>
            <w:pPr>
              <w:adjustRightInd w:val="0"/>
              <w:snapToGrid w:val="0"/>
              <w:rPr>
                <w:rFonts w:hint="eastAsia" w:ascii="仿宋_GB2312" w:eastAsia="仿宋_GB2312" w:cs="仿宋_GB2312"/>
                <w:szCs w:val="21"/>
                <w:lang w:bidi="ar-SA"/>
              </w:rPr>
            </w:pPr>
            <w:r>
              <w:rPr>
                <w:rFonts w:hint="eastAsia" w:ascii="仿宋_GB2312" w:eastAsia="仿宋_GB2312" w:cs="仿宋_GB2312"/>
                <w:szCs w:val="21"/>
                <w:lang w:bidi="ar-SA"/>
              </w:rPr>
              <w:t>第十三条 建设单位在开工前，应当按照国家有关规定办理工程质量监督手续，工程质量监督手续可以与施工许可证或者开工报告合并办理。</w:t>
            </w:r>
          </w:p>
          <w:p>
            <w:pPr>
              <w:adjustRightInd w:val="0"/>
              <w:snapToGrid w:val="0"/>
              <w:rPr>
                <w:rFonts w:hint="eastAsia" w:ascii="仿宋_GB2312" w:eastAsia="仿宋_GB2312" w:cs="仿宋_GB2312"/>
                <w:szCs w:val="21"/>
                <w:lang w:bidi="ar-SA"/>
              </w:rPr>
            </w:pPr>
            <w:r>
              <w:rPr>
                <w:rFonts w:hint="eastAsia" w:ascii="仿宋_GB2312" w:eastAsia="仿宋_GB2312" w:cs="仿宋_GB2312"/>
                <w:szCs w:val="21"/>
                <w:lang w:bidi="ar-SA"/>
              </w:rPr>
              <w:t>第四十八条 县级以上人民政府建设行政主管部门和其他有关部门履行监督检查职责时，有权采取下列措施：</w:t>
            </w:r>
          </w:p>
          <w:p>
            <w:pPr>
              <w:adjustRightInd w:val="0"/>
              <w:snapToGrid w:val="0"/>
              <w:rPr>
                <w:rFonts w:hint="eastAsia" w:ascii="仿宋_GB2312" w:eastAsia="仿宋_GB2312" w:cs="仿宋_GB2312"/>
                <w:szCs w:val="21"/>
                <w:lang w:bidi="ar-SA"/>
              </w:rPr>
            </w:pPr>
            <w:r>
              <w:rPr>
                <w:rFonts w:hint="eastAsia" w:ascii="仿宋_GB2312" w:eastAsia="仿宋_GB2312" w:cs="仿宋_GB2312"/>
                <w:szCs w:val="21"/>
                <w:lang w:bidi="ar-SA"/>
              </w:rPr>
              <w:t>（一）要求被检查的单位提供有关工程质量的文件和资料；</w:t>
            </w:r>
          </w:p>
          <w:p>
            <w:pPr>
              <w:adjustRightInd w:val="0"/>
              <w:snapToGrid w:val="0"/>
              <w:rPr>
                <w:rFonts w:hint="eastAsia" w:ascii="仿宋_GB2312" w:eastAsia="仿宋_GB2312" w:cs="仿宋_GB2312"/>
                <w:szCs w:val="21"/>
                <w:lang w:bidi="ar-SA"/>
              </w:rPr>
            </w:pPr>
            <w:r>
              <w:rPr>
                <w:rFonts w:hint="eastAsia" w:ascii="仿宋_GB2312" w:eastAsia="仿宋_GB2312" w:cs="仿宋_GB2312"/>
                <w:szCs w:val="21"/>
                <w:lang w:bidi="ar-SA"/>
              </w:rPr>
              <w:t>（二）进入被检查单位的施工现场进行检查；</w:t>
            </w:r>
          </w:p>
          <w:p>
            <w:pPr>
              <w:adjustRightInd w:val="0"/>
              <w:snapToGrid w:val="0"/>
              <w:rPr>
                <w:rFonts w:hint="eastAsia"/>
                <w:szCs w:val="21"/>
              </w:rPr>
            </w:pPr>
            <w:r>
              <w:rPr>
                <w:rFonts w:hint="eastAsia" w:ascii="仿宋_GB2312" w:eastAsia="仿宋_GB2312" w:cs="仿宋_GB2312"/>
                <w:szCs w:val="21"/>
                <w:lang w:bidi="ar-SA"/>
              </w:rPr>
              <w:t>（三）发现有影响工程质量的问题时，责令改正。</w:t>
            </w:r>
          </w:p>
        </w:tc>
        <w:tc>
          <w:tcPr>
            <w:tcW w:w="27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textAlignment w:val="auto"/>
              <w:rPr>
                <w:rFonts w:hint="eastAsia" w:ascii="仿宋_GB2312" w:eastAsia="仿宋_GB2312" w:cs="仿宋_GB2312"/>
                <w:bCs w:val="0"/>
                <w:szCs w:val="21"/>
                <w:lang w:bidi="ar-SA"/>
              </w:rPr>
            </w:pPr>
            <w:r>
              <w:rPr>
                <w:rFonts w:hint="eastAsia" w:ascii="仿宋_GB2312" w:eastAsia="仿宋_GB2312" w:cs="仿宋_GB2312"/>
                <w:bCs w:val="0"/>
                <w:szCs w:val="21"/>
                <w:lang w:bidi="ar-SA"/>
              </w:rPr>
              <w:t>【地方性法规】《辽宁省实施〈中华人民共和国人民防空法〉办法》（1999年1月1日实施）</w:t>
            </w:r>
          </w:p>
          <w:p>
            <w:pPr>
              <w:keepNext w:val="0"/>
              <w:keepLines w:val="0"/>
              <w:pageBreakBefore w:val="0"/>
              <w:widowControl w:val="0"/>
              <w:kinsoku/>
              <w:wordWrap/>
              <w:overflowPunct/>
              <w:topLinePunct w:val="0"/>
              <w:autoSpaceDE/>
              <w:autoSpaceDN/>
              <w:bidi w:val="0"/>
              <w:adjustRightInd w:val="0"/>
              <w:snapToGrid w:val="0"/>
              <w:spacing w:line="240" w:lineRule="exact"/>
              <w:textAlignment w:val="auto"/>
              <w:rPr>
                <w:rFonts w:hint="eastAsia" w:ascii="仿宋_GB2312" w:eastAsia="仿宋_GB2312" w:cs="仿宋_GB2312"/>
                <w:bCs w:val="0"/>
                <w:szCs w:val="21"/>
                <w:lang w:bidi="ar-SA"/>
              </w:rPr>
            </w:pPr>
            <w:r>
              <w:rPr>
                <w:rFonts w:hint="eastAsia" w:ascii="仿宋_GB2312" w:eastAsia="仿宋_GB2312" w:cs="仿宋_GB2312"/>
                <w:bCs w:val="0"/>
                <w:szCs w:val="21"/>
                <w:lang w:bidi="ar-SA"/>
              </w:rPr>
              <w:t>第十二条 市以上人民政府人民防空主管部门会同有关部门负责人民防空工程建设项目的设计审查、质量监督和竣工验收。</w:t>
            </w:r>
          </w:p>
          <w:p>
            <w:pPr>
              <w:keepNext w:val="0"/>
              <w:keepLines w:val="0"/>
              <w:pageBreakBefore w:val="0"/>
              <w:widowControl w:val="0"/>
              <w:kinsoku/>
              <w:wordWrap/>
              <w:overflowPunct/>
              <w:topLinePunct w:val="0"/>
              <w:autoSpaceDE/>
              <w:autoSpaceDN/>
              <w:bidi w:val="0"/>
              <w:adjustRightInd w:val="0"/>
              <w:snapToGrid w:val="0"/>
              <w:spacing w:line="240" w:lineRule="exact"/>
              <w:textAlignment w:val="auto"/>
              <w:rPr>
                <w:rFonts w:hint="eastAsia" w:ascii="仿宋_GB2312" w:eastAsia="仿宋_GB2312" w:cs="仿宋_GB2312"/>
                <w:bCs w:val="0"/>
                <w:szCs w:val="21"/>
                <w:lang w:bidi="ar-SA"/>
              </w:rPr>
            </w:pPr>
            <w:r>
              <w:rPr>
                <w:rFonts w:hint="eastAsia" w:ascii="仿宋_GB2312" w:eastAsia="仿宋_GB2312" w:cs="仿宋_GB2312"/>
                <w:bCs w:val="0"/>
                <w:szCs w:val="21"/>
                <w:lang w:bidi="ar-SA"/>
              </w:rPr>
              <w:t>【地方性法规】《辽宁省建设工程质量条例》（2025年5月28日修订）</w:t>
            </w:r>
          </w:p>
          <w:p>
            <w:pPr>
              <w:keepNext w:val="0"/>
              <w:keepLines w:val="0"/>
              <w:pageBreakBefore w:val="0"/>
              <w:widowControl w:val="0"/>
              <w:kinsoku/>
              <w:wordWrap/>
              <w:overflowPunct/>
              <w:topLinePunct w:val="0"/>
              <w:autoSpaceDE/>
              <w:autoSpaceDN/>
              <w:bidi w:val="0"/>
              <w:adjustRightInd w:val="0"/>
              <w:snapToGrid w:val="0"/>
              <w:spacing w:line="240" w:lineRule="exact"/>
              <w:textAlignment w:val="auto"/>
              <w:rPr>
                <w:rFonts w:hint="eastAsia" w:ascii="仿宋_GB2312" w:eastAsia="仿宋_GB2312" w:cs="仿宋_GB2312"/>
                <w:bCs w:val="0"/>
                <w:szCs w:val="21"/>
                <w:lang w:bidi="ar-SA"/>
              </w:rPr>
            </w:pPr>
            <w:r>
              <w:rPr>
                <w:rFonts w:hint="eastAsia" w:ascii="仿宋_GB2312" w:eastAsia="仿宋_GB2312" w:cs="仿宋_GB2312"/>
                <w:bCs w:val="0"/>
                <w:szCs w:val="21"/>
                <w:lang w:bidi="ar-SA"/>
              </w:rPr>
              <w:t>第四条 省、市、县（含县级市、区，下同）建设行政管理部门是同级人民政府建设工程质量的主管部门，对本行政区域内的建设工程质量实施统一监督管理。省、市、县建设工程质量监督机构按照各自职责具体行使监督管理职能。行业主管部门负责本行业建设项目中特殊专业的工程质量监督管理工作。其所属的特殊专业工程质量监督机构负责具体监督管理工作。</w:t>
            </w:r>
          </w:p>
          <w:p>
            <w:pPr>
              <w:keepNext w:val="0"/>
              <w:keepLines w:val="0"/>
              <w:pageBreakBefore w:val="0"/>
              <w:widowControl w:val="0"/>
              <w:kinsoku/>
              <w:wordWrap/>
              <w:overflowPunct/>
              <w:topLinePunct w:val="0"/>
              <w:autoSpaceDE/>
              <w:autoSpaceDN/>
              <w:bidi w:val="0"/>
              <w:adjustRightInd w:val="0"/>
              <w:snapToGrid w:val="0"/>
              <w:spacing w:line="240" w:lineRule="exact"/>
              <w:textAlignment w:val="auto"/>
              <w:rPr>
                <w:rFonts w:hint="eastAsia" w:ascii="仿宋_GB2312" w:eastAsia="仿宋_GB2312" w:cs="仿宋_GB2312"/>
                <w:szCs w:val="21"/>
                <w:lang w:bidi="ar-SA"/>
              </w:rPr>
            </w:pPr>
            <w:r>
              <w:rPr>
                <w:rFonts w:hint="eastAsia" w:ascii="仿宋_GB2312" w:eastAsia="仿宋_GB2312" w:cs="仿宋_GB2312"/>
                <w:bCs w:val="0"/>
                <w:szCs w:val="21"/>
                <w:lang w:bidi="ar-SA"/>
              </w:rPr>
              <w:t>第三十一条 建设工程质量监督机构应当按照有关法律、法规和有关质量标准对建设工程质量进行监督。</w:t>
            </w:r>
          </w:p>
        </w:tc>
        <w:tc>
          <w:tcPr>
            <w:tcW w:w="25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textAlignment w:val="auto"/>
              <w:rPr>
                <w:rFonts w:hint="eastAsia" w:ascii="仿宋_GB2312" w:eastAsia="仿宋_GB2312" w:cs="仿宋_GB2312"/>
                <w:bCs w:val="0"/>
                <w:szCs w:val="21"/>
                <w:lang w:bidi="ar-SA"/>
              </w:rPr>
            </w:pPr>
            <w:r>
              <w:rPr>
                <w:rFonts w:hint="eastAsia" w:ascii="仿宋_GB2312" w:eastAsia="仿宋_GB2312" w:cs="仿宋_GB2312"/>
                <w:bCs w:val="0"/>
                <w:szCs w:val="21"/>
                <w:lang w:bidi="ar-SA"/>
              </w:rPr>
              <w:t>【部委规章】《人民防空工程建设管理规定》（〔2003〕国人防办字第18号，国家国动委、国家发计委、建设部、财政部联合颁发）</w:t>
            </w:r>
          </w:p>
          <w:p>
            <w:pPr>
              <w:keepNext w:val="0"/>
              <w:keepLines w:val="0"/>
              <w:pageBreakBefore w:val="0"/>
              <w:widowControl/>
              <w:kinsoku/>
              <w:wordWrap/>
              <w:overflowPunct/>
              <w:topLinePunct w:val="0"/>
              <w:autoSpaceDE/>
              <w:autoSpaceDN/>
              <w:bidi w:val="0"/>
              <w:spacing w:line="240" w:lineRule="exact"/>
              <w:jc w:val="left"/>
              <w:textAlignment w:val="auto"/>
              <w:rPr>
                <w:rFonts w:hint="eastAsia" w:ascii="仿宋_GB2312" w:eastAsia="仿宋_GB2312" w:cs="仿宋_GB2312"/>
                <w:bCs w:val="0"/>
                <w:szCs w:val="21"/>
                <w:lang w:bidi="ar-SA"/>
              </w:rPr>
            </w:pPr>
            <w:r>
              <w:rPr>
                <w:rFonts w:hint="eastAsia" w:ascii="仿宋_GB2312" w:eastAsia="仿宋_GB2312" w:cs="仿宋_GB2312"/>
                <w:bCs w:val="0"/>
                <w:szCs w:val="21"/>
                <w:lang w:bidi="ar-SA"/>
              </w:rPr>
              <w:t>第三十条 县级以上人民政府人民防空主管部门对本行政区域内的人民防空工程质量实施监督管理。人民防空工程质量监督管理，由国家、省(自治区、直辖市)、人民防空重点城市人民政府人民防空主管部门委托具有资格的工程质量监督机构具体实施。</w:t>
            </w:r>
          </w:p>
          <w:p>
            <w:pPr>
              <w:keepNext w:val="0"/>
              <w:keepLines w:val="0"/>
              <w:pageBreakBefore w:val="0"/>
              <w:widowControl/>
              <w:kinsoku/>
              <w:wordWrap/>
              <w:overflowPunct/>
              <w:topLinePunct w:val="0"/>
              <w:autoSpaceDE/>
              <w:autoSpaceDN/>
              <w:bidi w:val="0"/>
              <w:spacing w:line="240" w:lineRule="exact"/>
              <w:jc w:val="left"/>
              <w:textAlignment w:val="auto"/>
              <w:rPr>
                <w:rFonts w:hint="eastAsia" w:ascii="仿宋_GB2312" w:eastAsia="仿宋_GB2312" w:cs="仿宋_GB2312"/>
                <w:bCs w:val="0"/>
                <w:szCs w:val="21"/>
                <w:lang w:bidi="ar-SA"/>
              </w:rPr>
            </w:pPr>
            <w:r>
              <w:rPr>
                <w:rFonts w:hint="eastAsia" w:ascii="仿宋_GB2312" w:eastAsia="仿宋_GB2312" w:cs="仿宋_GB2312"/>
                <w:bCs w:val="0"/>
                <w:szCs w:val="21"/>
                <w:lang w:bidi="ar-SA"/>
              </w:rPr>
              <w:t>第四十六条 县级以上人民政府人民防空主管部门参与城市应建防空地下室的民用建筑计划和项目报建联审，按照国家有关规定负责防空地下室防护方面的设计审查和质量监督。</w:t>
            </w:r>
          </w:p>
          <w:p>
            <w:pPr>
              <w:adjustRightInd w:val="0"/>
              <w:snapToGrid w:val="0"/>
              <w:rPr>
                <w:rFonts w:hint="eastAsia" w:ascii="仿宋_GB2312" w:eastAsia="仿宋_GB2312" w:cs="仿宋_GB2312"/>
                <w:szCs w:val="21"/>
                <w:lang w:bidi="ar-SA"/>
              </w:rPr>
            </w:pPr>
          </w:p>
        </w:tc>
        <w:tc>
          <w:tcPr>
            <w:tcW w:w="1788" w:type="dxa"/>
            <w:noWrap w:val="0"/>
            <w:vAlign w:val="center"/>
          </w:tcPr>
          <w:p>
            <w:pPr>
              <w:keepNext w:val="0"/>
              <w:keepLines w:val="0"/>
              <w:pageBreakBefore w:val="0"/>
              <w:widowControl w:val="0"/>
              <w:kinsoku/>
              <w:wordWrap/>
              <w:overflowPunct/>
              <w:topLinePunct w:val="0"/>
              <w:autoSpaceDE/>
              <w:autoSpaceDN/>
              <w:adjustRightInd w:val="0"/>
              <w:snapToGrid w:val="0"/>
              <w:spacing w:line="240" w:lineRule="exact"/>
              <w:rPr>
                <w:rFonts w:hint="eastAsia" w:ascii="仿宋_GB2312" w:eastAsia="仿宋_GB2312" w:cs="仿宋_GB2312"/>
                <w:b/>
                <w:bCs w:val="0"/>
                <w:color w:val="FF0000"/>
                <w:szCs w:val="21"/>
                <w:u w:val="dotted"/>
                <w:lang w:bidi="ar-SA"/>
              </w:rPr>
            </w:pPr>
          </w:p>
        </w:tc>
        <w:tc>
          <w:tcPr>
            <w:tcW w:w="1087" w:type="dxa"/>
            <w:noWrap w:val="0"/>
            <w:vAlign w:val="center"/>
          </w:tcPr>
          <w:p>
            <w:pPr>
              <w:adjustRightInd w:val="0"/>
              <w:snapToGrid w:val="0"/>
              <w:rPr>
                <w:rFonts w:hint="eastAsia" w:ascii="仿宋_GB2312" w:eastAsia="仿宋_GB2312" w:cs="仿宋_GB2312"/>
                <w:szCs w:val="21"/>
                <w:lang w:bidi="ar-SA"/>
              </w:rPr>
            </w:pPr>
            <w:r>
              <w:rPr>
                <w:rFonts w:hint="eastAsia" w:ascii="仿宋_GB2312" w:eastAsia="仿宋_GB2312" w:cs="仿宋_GB2312"/>
                <w:szCs w:val="21"/>
                <w:lang w:bidi="ar-SA"/>
              </w:rPr>
              <w:t>市</w:t>
            </w:r>
            <w:r>
              <w:rPr>
                <w:rFonts w:hint="eastAsia" w:ascii="仿宋_GB2312" w:eastAsia="仿宋_GB2312" w:cs="仿宋_GB2312"/>
                <w:szCs w:val="21"/>
                <w:lang w:eastAsia="zh-CN" w:bidi="ar-SA"/>
              </w:rPr>
              <w:t>本</w:t>
            </w:r>
            <w:r>
              <w:rPr>
                <w:rFonts w:hint="eastAsia" w:ascii="仿宋_GB2312" w:eastAsia="仿宋_GB2312" w:cs="仿宋_GB2312"/>
                <w:szCs w:val="21"/>
                <w:lang w:bidi="ar-SA"/>
              </w:rPr>
              <w:t>级、</w:t>
            </w:r>
            <w:r>
              <w:rPr>
                <w:rFonts w:hint="eastAsia" w:ascii="仿宋_GB2312" w:eastAsia="仿宋_GB2312" w:cs="仿宋_GB2312"/>
                <w:szCs w:val="21"/>
                <w:lang w:eastAsia="zh-CN" w:bidi="ar-SA"/>
              </w:rPr>
              <w:t>各县（市）</w:t>
            </w:r>
            <w:r>
              <w:rPr>
                <w:rFonts w:hint="eastAsia" w:ascii="仿宋_GB2312" w:eastAsia="仿宋_GB2312" w:cs="仿宋_GB2312"/>
                <w:szCs w:val="21"/>
                <w:lang w:bidi="ar-SA"/>
              </w:rPr>
              <w:t>级人民防空主管部门</w:t>
            </w:r>
          </w:p>
        </w:tc>
        <w:tc>
          <w:tcPr>
            <w:tcW w:w="648" w:type="dxa"/>
            <w:noWrap w:val="0"/>
            <w:vAlign w:val="center"/>
          </w:tcPr>
          <w:p>
            <w:pPr>
              <w:adjustRightInd w:val="0"/>
              <w:snapToGrid w:val="0"/>
              <w:rPr>
                <w:rFonts w:hint="eastAsia" w:ascii="仿宋_GB2312" w:eastAsia="仿宋_GB2312" w:cs="仿宋_GB2312"/>
                <w:szCs w:val="21"/>
                <w:lang w:bidi="ar-SA"/>
              </w:rPr>
            </w:pPr>
            <w:r>
              <w:rPr>
                <w:rFonts w:hint="eastAsia" w:ascii="仿宋_GB2312" w:eastAsia="仿宋_GB2312" w:cs="仿宋_GB2312"/>
                <w:szCs w:val="21"/>
                <w:lang w:bidi="ar-SA"/>
              </w:rPr>
              <w:t>现场检查、非现场检查相结合</w:t>
            </w:r>
          </w:p>
        </w:tc>
        <w:tc>
          <w:tcPr>
            <w:tcW w:w="745" w:type="dxa"/>
            <w:noWrap w:val="0"/>
            <w:vAlign w:val="center"/>
          </w:tcPr>
          <w:p>
            <w:pPr>
              <w:adjustRightInd w:val="0"/>
              <w:snapToGrid w:val="0"/>
              <w:rPr>
                <w:rFonts w:hint="eastAsia" w:ascii="仿宋_GB2312" w:eastAsia="仿宋_GB2312" w:cs="仿宋_GB2312"/>
                <w:bCs w:val="0"/>
                <w:szCs w:val="21"/>
                <w:lang w:bidi="ar-SA"/>
              </w:rPr>
            </w:pPr>
            <w:r>
              <w:rPr>
                <w:rFonts w:hint="eastAsia" w:ascii="仿宋_GB2312" w:eastAsia="仿宋_GB2312" w:cs="仿宋_GB2312"/>
                <w:bCs w:val="0"/>
                <w:szCs w:val="21"/>
                <w:lang w:bidi="ar-SA"/>
              </w:rPr>
              <w:t>对于结建防空地下室负责防护方面施工质量的监督检查。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200" w:hRule="atLeast"/>
          <w:tblHeader/>
          <w:jc w:val="center"/>
        </w:trPr>
        <w:tc>
          <w:tcPr>
            <w:tcW w:w="360" w:type="dxa"/>
            <w:noWrap w:val="0"/>
            <w:vAlign w:val="center"/>
          </w:tcPr>
          <w:p>
            <w:pPr>
              <w:adjustRightInd w:val="0"/>
              <w:snapToGrid w:val="0"/>
              <w:jc w:val="center"/>
              <w:rPr>
                <w:rFonts w:hint="eastAsia" w:ascii="仿宋_GB2312" w:eastAsia="仿宋_GB2312" w:cs="仿宋_GB2312"/>
                <w:szCs w:val="21"/>
                <w:lang w:bidi="ar-SA"/>
              </w:rPr>
            </w:pPr>
            <w:r>
              <w:rPr>
                <w:rFonts w:hint="eastAsia" w:ascii="仿宋_GB2312" w:eastAsia="仿宋_GB2312" w:cs="仿宋_GB2312"/>
                <w:szCs w:val="21"/>
                <w:lang w:bidi="ar-SA"/>
              </w:rPr>
              <w:t>2</w:t>
            </w:r>
          </w:p>
        </w:tc>
        <w:tc>
          <w:tcPr>
            <w:tcW w:w="1223" w:type="dxa"/>
            <w:noWrap w:val="0"/>
            <w:vAlign w:val="center"/>
          </w:tcPr>
          <w:p>
            <w:pPr>
              <w:adjustRightInd w:val="0"/>
              <w:snapToGrid w:val="0"/>
              <w:rPr>
                <w:rFonts w:hint="eastAsia" w:ascii="仿宋_GB2312" w:eastAsia="仿宋_GB2312" w:cs="仿宋_GB2312"/>
                <w:bCs w:val="0"/>
                <w:szCs w:val="21"/>
                <w:lang w:bidi="ar-SA"/>
              </w:rPr>
            </w:pPr>
            <w:r>
              <w:rPr>
                <w:rFonts w:hint="eastAsia" w:ascii="仿宋_GB2312" w:eastAsia="仿宋_GB2312" w:cs="仿宋_GB2312"/>
                <w:bCs w:val="0"/>
                <w:szCs w:val="21"/>
                <w:lang w:bidi="ar-SA"/>
              </w:rPr>
              <w:t>对人民防空工程平时利用和维护管理情况的行政检查</w:t>
            </w:r>
          </w:p>
        </w:tc>
        <w:tc>
          <w:tcPr>
            <w:tcW w:w="1774" w:type="dxa"/>
            <w:noWrap w:val="0"/>
            <w:vAlign w:val="center"/>
          </w:tcPr>
          <w:p>
            <w:pPr>
              <w:adjustRightInd w:val="0"/>
              <w:snapToGrid w:val="0"/>
              <w:rPr>
                <w:rFonts w:hint="eastAsia" w:ascii="仿宋_GB2312" w:eastAsia="仿宋_GB2312" w:cs="仿宋_GB2312"/>
                <w:bCs w:val="0"/>
                <w:szCs w:val="21"/>
                <w:lang w:bidi="ar-SA"/>
              </w:rPr>
            </w:pPr>
            <w:r>
              <w:rPr>
                <w:rFonts w:hint="eastAsia" w:ascii="仿宋_GB2312" w:eastAsia="仿宋_GB2312" w:cs="仿宋_GB2312"/>
                <w:bCs w:val="0"/>
                <w:szCs w:val="21"/>
                <w:lang w:bidi="ar-SA"/>
              </w:rPr>
              <w:t>【法律】《中华人民共和国人民防空法》（2009年8月27日修订）</w:t>
            </w:r>
          </w:p>
          <w:p>
            <w:pPr>
              <w:adjustRightInd w:val="0"/>
              <w:snapToGrid w:val="0"/>
              <w:rPr>
                <w:rFonts w:hint="eastAsia" w:ascii="仿宋_GB2312" w:eastAsia="仿宋_GB2312" w:cs="仿宋_GB2312"/>
                <w:bCs w:val="0"/>
                <w:szCs w:val="21"/>
                <w:lang w:bidi="ar-SA"/>
              </w:rPr>
            </w:pPr>
            <w:r>
              <w:rPr>
                <w:rFonts w:hint="eastAsia" w:ascii="仿宋_GB2312" w:eastAsia="仿宋_GB2312" w:cs="仿宋_GB2312"/>
                <w:bCs w:val="0"/>
                <w:szCs w:val="21"/>
                <w:lang w:bidi="ar-SA"/>
              </w:rPr>
              <w:t>第七条第三款 县级以上地方各级人民政府人民防空主管部门管理本行政区域的人民防空工作。</w:t>
            </w:r>
          </w:p>
          <w:p>
            <w:pPr>
              <w:adjustRightInd w:val="0"/>
              <w:snapToGrid w:val="0"/>
              <w:rPr>
                <w:rFonts w:hint="eastAsia" w:ascii="仿宋_GB2312" w:eastAsia="仿宋_GB2312" w:cs="仿宋_GB2312"/>
                <w:bCs w:val="0"/>
                <w:szCs w:val="21"/>
                <w:lang w:bidi="ar-SA"/>
              </w:rPr>
            </w:pPr>
            <w:r>
              <w:rPr>
                <w:rFonts w:hint="eastAsia" w:ascii="仿宋_GB2312" w:eastAsia="仿宋_GB2312" w:cs="仿宋_GB2312"/>
                <w:bCs w:val="0"/>
                <w:szCs w:val="21"/>
                <w:lang w:bidi="ar-SA"/>
              </w:rPr>
              <w:t>第二十五条第一款 人民防空主管部门对人民防空工程的维护管理进行监督检查。</w:t>
            </w:r>
          </w:p>
          <w:p>
            <w:pPr>
              <w:adjustRightInd w:val="0"/>
              <w:snapToGrid w:val="0"/>
              <w:rPr>
                <w:rFonts w:hint="eastAsia" w:ascii="仿宋_GB2312" w:eastAsia="仿宋_GB2312" w:cs="仿宋_GB2312"/>
                <w:szCs w:val="21"/>
                <w:lang w:bidi="ar-SA"/>
              </w:rPr>
            </w:pPr>
            <w:r>
              <w:rPr>
                <w:rFonts w:hint="eastAsia" w:ascii="仿宋_GB2312" w:eastAsia="仿宋_GB2312" w:cs="仿宋_GB2312"/>
                <w:bCs w:val="0"/>
                <w:szCs w:val="21"/>
                <w:lang w:bidi="ar-SA"/>
              </w:rPr>
              <w:t>第二十六条 平时利用人民防空工程，不得影响其防空效能。</w:t>
            </w:r>
          </w:p>
        </w:tc>
        <w:tc>
          <w:tcPr>
            <w:tcW w:w="2324" w:type="dxa"/>
            <w:noWrap w:val="0"/>
            <w:vAlign w:val="center"/>
          </w:tcPr>
          <w:p>
            <w:pPr>
              <w:adjustRightInd w:val="0"/>
              <w:snapToGrid w:val="0"/>
              <w:rPr>
                <w:rFonts w:hint="eastAsia" w:ascii="仿宋_GB2312" w:eastAsia="仿宋_GB2312" w:cs="仿宋_GB2312"/>
                <w:szCs w:val="21"/>
                <w:lang w:bidi="ar-SA"/>
              </w:rPr>
            </w:pPr>
          </w:p>
        </w:tc>
        <w:tc>
          <w:tcPr>
            <w:tcW w:w="2787" w:type="dxa"/>
            <w:noWrap w:val="0"/>
            <w:vAlign w:val="center"/>
          </w:tcPr>
          <w:p>
            <w:pPr>
              <w:adjustRightInd w:val="0"/>
              <w:snapToGrid w:val="0"/>
              <w:rPr>
                <w:rFonts w:hint="eastAsia" w:ascii="仿宋_GB2312" w:eastAsia="仿宋_GB2312" w:cs="仿宋_GB2312"/>
                <w:szCs w:val="21"/>
                <w:lang w:bidi="ar-SA"/>
              </w:rPr>
            </w:pPr>
          </w:p>
        </w:tc>
        <w:tc>
          <w:tcPr>
            <w:tcW w:w="2500" w:type="dxa"/>
            <w:noWrap w:val="0"/>
            <w:vAlign w:val="center"/>
          </w:tcPr>
          <w:p>
            <w:pPr>
              <w:adjustRightInd w:val="0"/>
              <w:snapToGrid w:val="0"/>
              <w:rPr>
                <w:rFonts w:hint="eastAsia" w:ascii="仿宋_GB2312" w:eastAsia="仿宋_GB2312" w:cs="仿宋_GB2312"/>
                <w:szCs w:val="21"/>
                <w:lang w:bidi="ar-SA"/>
              </w:rPr>
            </w:pPr>
          </w:p>
        </w:tc>
        <w:tc>
          <w:tcPr>
            <w:tcW w:w="1788" w:type="dxa"/>
            <w:noWrap w:val="0"/>
            <w:vAlign w:val="center"/>
          </w:tcPr>
          <w:p>
            <w:pPr>
              <w:adjustRightInd w:val="0"/>
              <w:snapToGrid w:val="0"/>
              <w:rPr>
                <w:rFonts w:hint="eastAsia" w:ascii="仿宋_GB2312" w:eastAsia="仿宋_GB2312" w:cs="仿宋_GB2312"/>
                <w:szCs w:val="21"/>
                <w:lang w:bidi="ar-SA"/>
              </w:rPr>
            </w:pPr>
          </w:p>
        </w:tc>
        <w:tc>
          <w:tcPr>
            <w:tcW w:w="1087" w:type="dxa"/>
            <w:noWrap w:val="0"/>
            <w:vAlign w:val="center"/>
          </w:tcPr>
          <w:p>
            <w:pPr>
              <w:adjustRightInd w:val="0"/>
              <w:snapToGrid w:val="0"/>
              <w:rPr>
                <w:rFonts w:hint="eastAsia" w:ascii="仿宋_GB2312" w:eastAsia="仿宋_GB2312" w:cs="仿宋_GB2312"/>
                <w:szCs w:val="21"/>
                <w:lang w:bidi="ar-SA"/>
              </w:rPr>
            </w:pPr>
            <w:r>
              <w:rPr>
                <w:rFonts w:hint="eastAsia" w:ascii="仿宋_GB2312" w:eastAsia="仿宋_GB2312" w:cs="仿宋_GB2312"/>
                <w:szCs w:val="21"/>
                <w:lang w:bidi="ar-SA"/>
              </w:rPr>
              <w:t>市</w:t>
            </w:r>
            <w:r>
              <w:rPr>
                <w:rFonts w:hint="eastAsia" w:ascii="仿宋_GB2312" w:eastAsia="仿宋_GB2312" w:cs="仿宋_GB2312"/>
                <w:szCs w:val="21"/>
                <w:lang w:eastAsia="zh-CN" w:bidi="ar-SA"/>
              </w:rPr>
              <w:t>本</w:t>
            </w:r>
            <w:r>
              <w:rPr>
                <w:rFonts w:hint="eastAsia" w:ascii="仿宋_GB2312" w:eastAsia="仿宋_GB2312" w:cs="仿宋_GB2312"/>
                <w:szCs w:val="21"/>
                <w:lang w:bidi="ar-SA"/>
              </w:rPr>
              <w:t>级、</w:t>
            </w:r>
            <w:r>
              <w:rPr>
                <w:rFonts w:hint="eastAsia" w:ascii="仿宋_GB2312" w:eastAsia="仿宋_GB2312" w:cs="仿宋_GB2312"/>
                <w:szCs w:val="21"/>
                <w:lang w:eastAsia="zh-CN" w:bidi="ar-SA"/>
              </w:rPr>
              <w:t>各县（市）</w:t>
            </w:r>
            <w:r>
              <w:rPr>
                <w:rFonts w:hint="eastAsia" w:ascii="仿宋_GB2312" w:eastAsia="仿宋_GB2312" w:cs="仿宋_GB2312"/>
                <w:szCs w:val="21"/>
                <w:lang w:bidi="ar-SA"/>
              </w:rPr>
              <w:t>级人民防空主管部</w:t>
            </w:r>
          </w:p>
        </w:tc>
        <w:tc>
          <w:tcPr>
            <w:tcW w:w="648" w:type="dxa"/>
            <w:noWrap w:val="0"/>
            <w:vAlign w:val="center"/>
          </w:tcPr>
          <w:p>
            <w:pPr>
              <w:adjustRightInd w:val="0"/>
              <w:snapToGrid w:val="0"/>
              <w:rPr>
                <w:rFonts w:hint="eastAsia" w:ascii="仿宋_GB2312" w:eastAsia="仿宋_GB2312" w:cs="仿宋_GB2312"/>
                <w:szCs w:val="21"/>
                <w:lang w:bidi="ar-SA"/>
              </w:rPr>
            </w:pPr>
            <w:r>
              <w:rPr>
                <w:rFonts w:hint="eastAsia" w:ascii="仿宋_GB2312" w:eastAsia="仿宋_GB2312" w:cs="仿宋_GB2312"/>
                <w:szCs w:val="21"/>
                <w:lang w:bidi="ar-SA"/>
              </w:rPr>
              <w:t>现场检查、非现场检查相结合</w:t>
            </w:r>
          </w:p>
        </w:tc>
        <w:tc>
          <w:tcPr>
            <w:tcW w:w="745" w:type="dxa"/>
            <w:noWrap w:val="0"/>
            <w:vAlign w:val="center"/>
          </w:tcPr>
          <w:p>
            <w:pPr>
              <w:adjustRightInd w:val="0"/>
              <w:snapToGrid w:val="0"/>
              <w:rPr>
                <w:rFonts w:hint="eastAsia" w:ascii="仿宋_GB2312" w:eastAsia="仿宋_GB2312" w:cs="仿宋_GB2312"/>
                <w:bCs w:val="0"/>
                <w:szCs w:val="21"/>
                <w:lang w:bidi="ar-SA"/>
              </w:rPr>
            </w:pPr>
            <w:r>
              <w:rPr>
                <w:rFonts w:hint="eastAsia" w:ascii="仿宋_GB2312" w:eastAsia="仿宋_GB2312" w:cs="仿宋_GB2312"/>
                <w:bCs w:val="0"/>
                <w:szCs w:val="21"/>
                <w:lang w:bidi="ar-SA"/>
              </w:rPr>
              <w:t>可结合上级部署的消防或安全生产专项检查具体实施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460" w:hRule="atLeast"/>
          <w:tblHeader/>
          <w:jc w:val="center"/>
        </w:trPr>
        <w:tc>
          <w:tcPr>
            <w:tcW w:w="360" w:type="dxa"/>
            <w:noWrap w:val="0"/>
            <w:vAlign w:val="center"/>
          </w:tcPr>
          <w:p>
            <w:pPr>
              <w:adjustRightInd w:val="0"/>
              <w:snapToGrid w:val="0"/>
              <w:jc w:val="center"/>
              <w:rPr>
                <w:rFonts w:hint="eastAsia" w:ascii="仿宋_GB2312" w:eastAsia="仿宋_GB2312" w:cs="仿宋_GB2312"/>
                <w:szCs w:val="21"/>
                <w:lang w:bidi="ar-SA"/>
              </w:rPr>
            </w:pPr>
            <w:r>
              <w:rPr>
                <w:rFonts w:hint="eastAsia" w:ascii="仿宋_GB2312" w:eastAsia="仿宋_GB2312" w:cs="仿宋_GB2312"/>
                <w:szCs w:val="21"/>
                <w:lang w:bidi="ar-SA"/>
              </w:rPr>
              <w:t>3</w:t>
            </w:r>
          </w:p>
        </w:tc>
        <w:tc>
          <w:tcPr>
            <w:tcW w:w="1223" w:type="dxa"/>
            <w:noWrap w:val="0"/>
            <w:vAlign w:val="center"/>
          </w:tcPr>
          <w:p>
            <w:pPr>
              <w:adjustRightInd w:val="0"/>
              <w:snapToGrid w:val="0"/>
              <w:rPr>
                <w:rFonts w:hint="eastAsia" w:ascii="仿宋_GB2312" w:eastAsia="仿宋_GB2312" w:cs="仿宋_GB2312"/>
                <w:szCs w:val="21"/>
                <w:lang w:bidi="ar-SA"/>
              </w:rPr>
            </w:pPr>
            <w:r>
              <w:rPr>
                <w:rFonts w:hint="eastAsia" w:ascii="仿宋_GB2312" w:eastAsia="仿宋_GB2312" w:cs="仿宋_GB2312"/>
                <w:szCs w:val="21"/>
                <w:lang w:bidi="ar-SA"/>
              </w:rPr>
              <w:t>对重要经济目标人民防空建设的行政检查</w:t>
            </w:r>
          </w:p>
        </w:tc>
        <w:tc>
          <w:tcPr>
            <w:tcW w:w="177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textAlignment w:val="auto"/>
              <w:rPr>
                <w:rFonts w:hint="eastAsia" w:ascii="仿宋_GB2312" w:eastAsia="仿宋_GB2312" w:cs="仿宋_GB2312"/>
                <w:bCs w:val="0"/>
                <w:szCs w:val="21"/>
                <w:lang w:bidi="ar-SA"/>
              </w:rPr>
            </w:pPr>
            <w:r>
              <w:rPr>
                <w:rFonts w:hint="eastAsia" w:ascii="仿宋_GB2312" w:eastAsia="仿宋_GB2312" w:cs="仿宋_GB2312"/>
                <w:bCs w:val="0"/>
                <w:szCs w:val="21"/>
                <w:lang w:bidi="ar-SA"/>
              </w:rPr>
              <w:t>【法律】《中华人民共和国人民防空法》（2009年8月27日修订）</w:t>
            </w:r>
          </w:p>
          <w:p>
            <w:pPr>
              <w:keepNext w:val="0"/>
              <w:keepLines w:val="0"/>
              <w:pageBreakBefore w:val="0"/>
              <w:widowControl w:val="0"/>
              <w:kinsoku/>
              <w:wordWrap/>
              <w:overflowPunct/>
              <w:topLinePunct w:val="0"/>
              <w:autoSpaceDE/>
              <w:autoSpaceDN/>
              <w:bidi w:val="0"/>
              <w:adjustRightInd w:val="0"/>
              <w:snapToGrid w:val="0"/>
              <w:spacing w:line="240" w:lineRule="exact"/>
              <w:textAlignment w:val="auto"/>
              <w:rPr>
                <w:rFonts w:hint="eastAsia" w:ascii="仿宋_GB2312" w:eastAsia="仿宋_GB2312" w:cs="仿宋_GB2312"/>
                <w:bCs w:val="0"/>
                <w:szCs w:val="21"/>
                <w:lang w:bidi="ar-SA"/>
              </w:rPr>
            </w:pPr>
            <w:r>
              <w:rPr>
                <w:rFonts w:hint="eastAsia" w:ascii="仿宋_GB2312" w:eastAsia="仿宋_GB2312" w:cs="仿宋_GB2312"/>
                <w:bCs w:val="0"/>
                <w:szCs w:val="21"/>
                <w:lang w:bidi="ar-SA"/>
              </w:rPr>
              <w:t>第七条第三款 县级以上地方各级人民政府人民防空主管部门管理本行政区域的人民防空工作。</w:t>
            </w:r>
          </w:p>
          <w:p>
            <w:pPr>
              <w:keepNext w:val="0"/>
              <w:keepLines w:val="0"/>
              <w:pageBreakBefore w:val="0"/>
              <w:widowControl w:val="0"/>
              <w:kinsoku/>
              <w:wordWrap/>
              <w:overflowPunct/>
              <w:topLinePunct w:val="0"/>
              <w:autoSpaceDE/>
              <w:autoSpaceDN/>
              <w:bidi w:val="0"/>
              <w:adjustRightInd w:val="0"/>
              <w:snapToGrid w:val="0"/>
              <w:spacing w:line="240" w:lineRule="exact"/>
              <w:textAlignment w:val="auto"/>
              <w:rPr>
                <w:rFonts w:hint="eastAsia" w:ascii="仿宋_GB2312" w:eastAsia="仿宋_GB2312" w:cs="仿宋_GB2312"/>
                <w:bCs w:val="0"/>
                <w:szCs w:val="21"/>
                <w:lang w:bidi="ar-SA"/>
              </w:rPr>
            </w:pPr>
            <w:r>
              <w:rPr>
                <w:rFonts w:hint="eastAsia" w:ascii="仿宋_GB2312" w:eastAsia="仿宋_GB2312" w:cs="仿宋_GB2312"/>
                <w:bCs w:val="0"/>
                <w:szCs w:val="21"/>
                <w:lang w:bidi="ar-SA"/>
              </w:rPr>
              <w:t>第十六条 对重要的经济目标，有关部门必须采取有效防护措施，并制定应急抢险抢修方案。前款所称重要的经济目标，包括重要的工矿企业、科研基地、交通枢纽、通信枢纽、桥梁、水库、仓库、电站等。</w:t>
            </w:r>
          </w:p>
          <w:p>
            <w:pPr>
              <w:keepNext w:val="0"/>
              <w:keepLines w:val="0"/>
              <w:pageBreakBefore w:val="0"/>
              <w:widowControl w:val="0"/>
              <w:kinsoku/>
              <w:wordWrap/>
              <w:overflowPunct/>
              <w:topLinePunct w:val="0"/>
              <w:autoSpaceDE/>
              <w:autoSpaceDN/>
              <w:bidi w:val="0"/>
              <w:adjustRightInd w:val="0"/>
              <w:snapToGrid w:val="0"/>
              <w:spacing w:line="240" w:lineRule="exact"/>
              <w:textAlignment w:val="auto"/>
              <w:rPr>
                <w:rFonts w:hint="eastAsia" w:ascii="仿宋_GB2312" w:eastAsia="仿宋_GB2312" w:cs="仿宋_GB2312"/>
                <w:szCs w:val="21"/>
                <w:lang w:bidi="ar-SA"/>
              </w:rPr>
            </w:pPr>
            <w:r>
              <w:rPr>
                <w:rFonts w:hint="eastAsia" w:ascii="仿宋_GB2312" w:eastAsia="仿宋_GB2312" w:cs="仿宋_GB2312"/>
                <w:bCs w:val="0"/>
                <w:szCs w:val="21"/>
                <w:lang w:bidi="ar-SA"/>
              </w:rPr>
              <w:t>第十七条 人民防空主管部门应当依照规定对城市和经济目标的人民防空建设进行监督检查。被检查单位应当如实提供情况和必要的资料。</w:t>
            </w:r>
          </w:p>
        </w:tc>
        <w:tc>
          <w:tcPr>
            <w:tcW w:w="2324" w:type="dxa"/>
            <w:noWrap w:val="0"/>
            <w:vAlign w:val="center"/>
          </w:tcPr>
          <w:p>
            <w:pPr>
              <w:adjustRightInd w:val="0"/>
              <w:snapToGrid w:val="0"/>
              <w:rPr>
                <w:rFonts w:hint="eastAsia" w:ascii="仿宋_GB2312" w:eastAsia="仿宋_GB2312" w:cs="仿宋_GB2312"/>
                <w:szCs w:val="21"/>
                <w:lang w:bidi="ar-SA"/>
              </w:rPr>
            </w:pPr>
          </w:p>
        </w:tc>
        <w:tc>
          <w:tcPr>
            <w:tcW w:w="2787" w:type="dxa"/>
            <w:noWrap w:val="0"/>
            <w:vAlign w:val="center"/>
          </w:tcPr>
          <w:p>
            <w:pPr>
              <w:adjustRightInd w:val="0"/>
              <w:snapToGrid w:val="0"/>
              <w:rPr>
                <w:rFonts w:hint="eastAsia" w:ascii="仿宋_GB2312" w:eastAsia="仿宋_GB2312" w:cs="仿宋_GB2312"/>
                <w:szCs w:val="21"/>
                <w:lang w:bidi="ar-SA"/>
              </w:rPr>
            </w:pPr>
            <w:r>
              <w:rPr>
                <w:rFonts w:hint="eastAsia" w:ascii="仿宋_GB2312" w:eastAsia="仿宋_GB2312" w:cs="仿宋_GB2312"/>
                <w:szCs w:val="21"/>
                <w:lang w:bidi="ar-SA"/>
              </w:rPr>
              <w:t>【地方性法规】《辽宁省实施〈中华人民共和国人民防空法〉办法》（1999年1月1日实施）</w:t>
            </w:r>
          </w:p>
          <w:p>
            <w:pPr>
              <w:adjustRightInd w:val="0"/>
              <w:snapToGrid w:val="0"/>
              <w:rPr>
                <w:rFonts w:hint="eastAsia" w:ascii="仿宋_GB2312" w:eastAsia="仿宋_GB2312" w:cs="仿宋_GB2312"/>
                <w:szCs w:val="21"/>
                <w:lang w:bidi="ar-SA"/>
              </w:rPr>
            </w:pPr>
            <w:r>
              <w:rPr>
                <w:rFonts w:hint="eastAsia" w:ascii="仿宋_GB2312" w:eastAsia="仿宋_GB2312" w:cs="仿宋_GB2312"/>
                <w:szCs w:val="21"/>
                <w:lang w:bidi="ar-SA"/>
              </w:rPr>
              <w:t>第七条第三款 县以上人民政府人民防空主管部门应当加强对重要经济目标人民防空建设工程的指导、监督和检查、新建、改建。扩建重要经济目标，必须符合国家规定的防空标准。</w:t>
            </w:r>
          </w:p>
        </w:tc>
        <w:tc>
          <w:tcPr>
            <w:tcW w:w="2500" w:type="dxa"/>
            <w:noWrap w:val="0"/>
            <w:vAlign w:val="center"/>
          </w:tcPr>
          <w:p>
            <w:pPr>
              <w:adjustRightInd w:val="0"/>
              <w:snapToGrid w:val="0"/>
              <w:rPr>
                <w:rFonts w:hint="eastAsia" w:ascii="仿宋_GB2312" w:eastAsia="仿宋_GB2312" w:cs="仿宋_GB2312"/>
                <w:color w:val="FF0000"/>
                <w:szCs w:val="21"/>
                <w:lang w:bidi="ar-SA"/>
              </w:rPr>
            </w:pPr>
          </w:p>
        </w:tc>
        <w:tc>
          <w:tcPr>
            <w:tcW w:w="1788" w:type="dxa"/>
            <w:noWrap w:val="0"/>
            <w:vAlign w:val="center"/>
          </w:tcPr>
          <w:p>
            <w:pPr>
              <w:adjustRightInd w:val="0"/>
              <w:snapToGrid w:val="0"/>
              <w:rPr>
                <w:rFonts w:hint="eastAsia" w:ascii="仿宋_GB2312" w:eastAsia="仿宋_GB2312" w:cs="仿宋_GB2312"/>
                <w:bCs w:val="0"/>
                <w:szCs w:val="21"/>
                <w:lang w:bidi="ar-SA"/>
              </w:rPr>
            </w:pPr>
            <w:r>
              <w:rPr>
                <w:rFonts w:hint="eastAsia" w:ascii="仿宋_GB2312" w:eastAsia="仿宋_GB2312" w:cs="仿宋_GB2312"/>
                <w:bCs w:val="0"/>
                <w:szCs w:val="21"/>
                <w:lang w:bidi="ar-SA"/>
              </w:rPr>
              <w:t>【政府规章】《辽宁省重要经济目标防护规定》（省政府令第256号）</w:t>
            </w:r>
          </w:p>
          <w:p>
            <w:pPr>
              <w:adjustRightInd w:val="0"/>
              <w:snapToGrid w:val="0"/>
              <w:rPr>
                <w:rFonts w:hint="eastAsia" w:ascii="仿宋_GB2312" w:eastAsia="仿宋_GB2312" w:cs="仿宋_GB2312"/>
                <w:b/>
                <w:bCs w:val="0"/>
                <w:color w:val="FF0000"/>
                <w:szCs w:val="21"/>
                <w:lang w:bidi="ar-SA"/>
              </w:rPr>
            </w:pPr>
            <w:r>
              <w:rPr>
                <w:rFonts w:hint="eastAsia" w:ascii="仿宋_GB2312" w:eastAsia="仿宋_GB2312" w:cs="仿宋_GB2312"/>
                <w:bCs w:val="0"/>
                <w:szCs w:val="21"/>
                <w:lang w:bidi="ar-SA"/>
              </w:rPr>
              <w:t>第四条第二款 省、市、县（含县级市、区，下同）发展改革部门负责本行政区域重要经济目标防护工作的综合协调；人民防空部门负责本行政区域重要经济目标防护工作的指导和监督管理。</w:t>
            </w:r>
          </w:p>
        </w:tc>
        <w:tc>
          <w:tcPr>
            <w:tcW w:w="1087" w:type="dxa"/>
            <w:noWrap w:val="0"/>
            <w:vAlign w:val="center"/>
          </w:tcPr>
          <w:p>
            <w:pPr>
              <w:adjustRightInd w:val="0"/>
              <w:snapToGrid w:val="0"/>
              <w:rPr>
                <w:rFonts w:hint="eastAsia" w:ascii="仿宋_GB2312" w:eastAsia="仿宋_GB2312" w:cs="仿宋_GB2312"/>
                <w:szCs w:val="21"/>
                <w:lang w:bidi="ar-SA"/>
              </w:rPr>
            </w:pPr>
            <w:r>
              <w:rPr>
                <w:rFonts w:hint="eastAsia" w:ascii="仿宋_GB2312" w:eastAsia="仿宋_GB2312" w:cs="仿宋_GB2312"/>
                <w:szCs w:val="21"/>
                <w:lang w:bidi="ar-SA"/>
              </w:rPr>
              <w:t>市</w:t>
            </w:r>
            <w:r>
              <w:rPr>
                <w:rFonts w:hint="eastAsia" w:ascii="仿宋_GB2312" w:eastAsia="仿宋_GB2312" w:cs="仿宋_GB2312"/>
                <w:szCs w:val="21"/>
                <w:lang w:eastAsia="zh-CN" w:bidi="ar-SA"/>
              </w:rPr>
              <w:t>本</w:t>
            </w:r>
            <w:r>
              <w:rPr>
                <w:rFonts w:hint="eastAsia" w:ascii="仿宋_GB2312" w:eastAsia="仿宋_GB2312" w:cs="仿宋_GB2312"/>
                <w:szCs w:val="21"/>
                <w:lang w:bidi="ar-SA"/>
              </w:rPr>
              <w:t>级、</w:t>
            </w:r>
            <w:r>
              <w:rPr>
                <w:rFonts w:hint="eastAsia" w:ascii="仿宋_GB2312" w:eastAsia="仿宋_GB2312" w:cs="仿宋_GB2312"/>
                <w:szCs w:val="21"/>
                <w:lang w:eastAsia="zh-CN" w:bidi="ar-SA"/>
              </w:rPr>
              <w:t>各县（市）</w:t>
            </w:r>
            <w:r>
              <w:rPr>
                <w:rFonts w:hint="eastAsia" w:ascii="仿宋_GB2312" w:eastAsia="仿宋_GB2312" w:cs="仿宋_GB2312"/>
                <w:szCs w:val="21"/>
                <w:lang w:bidi="ar-SA"/>
              </w:rPr>
              <w:t>级人民防空主管部</w:t>
            </w:r>
          </w:p>
        </w:tc>
        <w:tc>
          <w:tcPr>
            <w:tcW w:w="648" w:type="dxa"/>
            <w:noWrap w:val="0"/>
            <w:vAlign w:val="center"/>
          </w:tcPr>
          <w:p>
            <w:pPr>
              <w:adjustRightInd w:val="0"/>
              <w:snapToGrid w:val="0"/>
              <w:rPr>
                <w:rFonts w:hint="eastAsia" w:ascii="仿宋_GB2312" w:eastAsia="仿宋_GB2312" w:cs="仿宋_GB2312"/>
                <w:szCs w:val="21"/>
                <w:lang w:bidi="ar-SA"/>
              </w:rPr>
            </w:pPr>
            <w:r>
              <w:rPr>
                <w:rFonts w:hint="eastAsia" w:ascii="仿宋_GB2312" w:eastAsia="仿宋_GB2312" w:cs="仿宋_GB2312"/>
                <w:szCs w:val="21"/>
                <w:lang w:bidi="ar-SA"/>
              </w:rPr>
              <w:t>现场检查、非现场检查相结合</w:t>
            </w:r>
          </w:p>
        </w:tc>
        <w:tc>
          <w:tcPr>
            <w:tcW w:w="745" w:type="dxa"/>
            <w:noWrap w:val="0"/>
            <w:vAlign w:val="center"/>
          </w:tcPr>
          <w:p>
            <w:pPr>
              <w:adjustRightInd w:val="0"/>
              <w:snapToGrid w:val="0"/>
              <w:rPr>
                <w:rFonts w:hint="eastAsia" w:ascii="仿宋_GB2312" w:eastAsia="仿宋_GB2312" w:cs="仿宋_GB2312"/>
                <w:bCs w:val="0"/>
                <w:szCs w:val="21"/>
                <w:lang w:bidi="ar-SA"/>
              </w:rPr>
            </w:pPr>
            <w:r>
              <w:rPr>
                <w:rFonts w:hint="eastAsia" w:ascii="仿宋_GB2312" w:eastAsia="仿宋_GB2312" w:cs="仿宋_GB2312"/>
                <w:bCs w:val="0"/>
                <w:szCs w:val="21"/>
                <w:lang w:bidi="ar-SA"/>
              </w:rPr>
              <w:t>对城市人民防空建设的检查，已在第5项中另行作出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331" w:hRule="atLeast"/>
          <w:tblHeader/>
          <w:jc w:val="center"/>
        </w:trPr>
        <w:tc>
          <w:tcPr>
            <w:tcW w:w="360" w:type="dxa"/>
            <w:noWrap w:val="0"/>
            <w:vAlign w:val="center"/>
          </w:tcPr>
          <w:p>
            <w:pPr>
              <w:adjustRightInd w:val="0"/>
              <w:snapToGrid w:val="0"/>
              <w:jc w:val="center"/>
              <w:rPr>
                <w:rFonts w:hint="eastAsia" w:ascii="仿宋_GB2312" w:eastAsia="仿宋_GB2312" w:cs="仿宋_GB2312"/>
                <w:szCs w:val="21"/>
                <w:lang w:bidi="ar-SA"/>
              </w:rPr>
            </w:pPr>
            <w:r>
              <w:rPr>
                <w:rFonts w:hint="eastAsia" w:ascii="仿宋_GB2312" w:eastAsia="仿宋_GB2312" w:cs="仿宋_GB2312"/>
                <w:szCs w:val="21"/>
                <w:lang w:bidi="ar-SA"/>
              </w:rPr>
              <w:t>4</w:t>
            </w:r>
          </w:p>
        </w:tc>
        <w:tc>
          <w:tcPr>
            <w:tcW w:w="1223" w:type="dxa"/>
            <w:noWrap w:val="0"/>
            <w:vAlign w:val="center"/>
          </w:tcPr>
          <w:p>
            <w:pPr>
              <w:adjustRightInd w:val="0"/>
              <w:snapToGrid w:val="0"/>
              <w:rPr>
                <w:rFonts w:hint="eastAsia" w:ascii="仿宋_GB2312" w:eastAsia="仿宋_GB2312" w:cs="仿宋_GB2312"/>
                <w:szCs w:val="21"/>
                <w:lang w:bidi="ar-SA"/>
              </w:rPr>
            </w:pPr>
            <w:r>
              <w:rPr>
                <w:rFonts w:hint="eastAsia" w:ascii="仿宋_GB2312" w:eastAsia="仿宋_GB2312" w:cs="仿宋_GB2312"/>
                <w:szCs w:val="21"/>
                <w:lang w:bidi="ar-SA"/>
              </w:rPr>
              <w:t>对人民防空防护设备生产企业的行政检查</w:t>
            </w:r>
          </w:p>
        </w:tc>
        <w:tc>
          <w:tcPr>
            <w:tcW w:w="1774" w:type="dxa"/>
            <w:noWrap w:val="0"/>
            <w:vAlign w:val="center"/>
          </w:tcPr>
          <w:p>
            <w:pPr>
              <w:adjustRightInd w:val="0"/>
              <w:snapToGrid w:val="0"/>
              <w:rPr>
                <w:rFonts w:hint="eastAsia" w:ascii="仿宋_GB2312" w:eastAsia="仿宋_GB2312" w:cs="仿宋_GB2312"/>
                <w:bCs w:val="0"/>
                <w:szCs w:val="21"/>
                <w:lang w:bidi="ar-SA"/>
              </w:rPr>
            </w:pPr>
            <w:r>
              <w:rPr>
                <w:rFonts w:hint="eastAsia" w:ascii="仿宋_GB2312" w:eastAsia="仿宋_GB2312" w:cs="仿宋_GB2312"/>
                <w:bCs w:val="0"/>
                <w:szCs w:val="21"/>
                <w:lang w:bidi="ar-SA"/>
              </w:rPr>
              <w:t>【法律】《中华人民共和国人民防空法》（2009年8月27日修订）</w:t>
            </w:r>
          </w:p>
          <w:p>
            <w:pPr>
              <w:adjustRightInd w:val="0"/>
              <w:snapToGrid w:val="0"/>
              <w:rPr>
                <w:rFonts w:hint="eastAsia" w:ascii="仿宋_GB2312" w:eastAsia="仿宋_GB2312" w:cs="仿宋_GB2312"/>
                <w:bCs w:val="0"/>
                <w:szCs w:val="21"/>
                <w:lang w:bidi="ar-SA"/>
              </w:rPr>
            </w:pPr>
            <w:r>
              <w:rPr>
                <w:rFonts w:hint="eastAsia" w:ascii="仿宋_GB2312" w:eastAsia="仿宋_GB2312" w:cs="仿宋_GB2312"/>
                <w:bCs w:val="0"/>
                <w:szCs w:val="21"/>
                <w:lang w:bidi="ar-SA"/>
              </w:rPr>
              <w:t>第七条第三款 县级以上地方各级人民政府人民防空主管部门管理本行政区域的人民防空工作。</w:t>
            </w:r>
          </w:p>
          <w:p>
            <w:pPr>
              <w:adjustRightInd w:val="0"/>
              <w:snapToGrid w:val="0"/>
              <w:rPr>
                <w:rFonts w:hint="eastAsia" w:ascii="仿宋_GB2312" w:eastAsia="仿宋_GB2312" w:cs="仿宋_GB2312"/>
                <w:szCs w:val="21"/>
                <w:lang w:bidi="ar-SA"/>
              </w:rPr>
            </w:pPr>
            <w:r>
              <w:rPr>
                <w:rFonts w:hint="eastAsia" w:ascii="仿宋_GB2312" w:eastAsia="仿宋_GB2312" w:cs="仿宋_GB2312"/>
                <w:bCs w:val="0"/>
                <w:szCs w:val="21"/>
                <w:lang w:bidi="ar-SA"/>
              </w:rPr>
              <w:t>第二十三条第二款 人民防空工程专用设备的定型、生产必须符合国家规定的标准。</w:t>
            </w:r>
          </w:p>
        </w:tc>
        <w:tc>
          <w:tcPr>
            <w:tcW w:w="2324" w:type="dxa"/>
            <w:noWrap w:val="0"/>
            <w:vAlign w:val="center"/>
          </w:tcPr>
          <w:p>
            <w:pPr>
              <w:adjustRightInd w:val="0"/>
              <w:snapToGrid w:val="0"/>
              <w:rPr>
                <w:rFonts w:hint="eastAsia" w:ascii="仿宋_GB2312" w:eastAsia="仿宋_GB2312" w:cs="仿宋_GB2312"/>
                <w:szCs w:val="21"/>
                <w:lang w:bidi="ar-SA"/>
              </w:rPr>
            </w:pPr>
          </w:p>
        </w:tc>
        <w:tc>
          <w:tcPr>
            <w:tcW w:w="2787" w:type="dxa"/>
            <w:noWrap w:val="0"/>
            <w:vAlign w:val="center"/>
          </w:tcPr>
          <w:p>
            <w:pPr>
              <w:adjustRightInd w:val="0"/>
              <w:snapToGrid w:val="0"/>
              <w:rPr>
                <w:rFonts w:hint="eastAsia" w:ascii="仿宋_GB2312" w:eastAsia="仿宋_GB2312" w:cs="仿宋_GB2312"/>
                <w:szCs w:val="21"/>
                <w:lang w:bidi="ar-SA"/>
              </w:rPr>
            </w:pPr>
          </w:p>
        </w:tc>
        <w:tc>
          <w:tcPr>
            <w:tcW w:w="2500" w:type="dxa"/>
            <w:noWrap w:val="0"/>
            <w:vAlign w:val="center"/>
          </w:tcPr>
          <w:p>
            <w:pPr>
              <w:adjustRightInd w:val="0"/>
              <w:snapToGrid w:val="0"/>
              <w:rPr>
                <w:rFonts w:hint="eastAsia" w:ascii="仿宋_GB2312" w:eastAsia="仿宋_GB2312" w:cs="仿宋_GB2312"/>
                <w:szCs w:val="21"/>
                <w:lang w:bidi="ar-SA"/>
              </w:rPr>
            </w:pPr>
            <w:r>
              <w:rPr>
                <w:rFonts w:hint="eastAsia" w:ascii="仿宋_GB2312" w:eastAsia="仿宋_GB2312" w:cs="仿宋_GB2312"/>
                <w:szCs w:val="21"/>
                <w:lang w:bidi="ar-SA"/>
              </w:rPr>
              <w:t>【部委规章】《人民防空防护设备管理办法》（2025年1月1日施行）</w:t>
            </w:r>
          </w:p>
          <w:p>
            <w:pPr>
              <w:adjustRightInd w:val="0"/>
              <w:snapToGrid w:val="0"/>
              <w:rPr>
                <w:rFonts w:hint="eastAsia" w:ascii="仿宋_GB2312" w:eastAsia="仿宋_GB2312" w:cs="仿宋_GB2312"/>
                <w:szCs w:val="21"/>
                <w:lang w:bidi="ar-SA"/>
              </w:rPr>
            </w:pPr>
            <w:r>
              <w:rPr>
                <w:rFonts w:hint="eastAsia" w:ascii="仿宋_GB2312" w:eastAsia="仿宋_GB2312" w:cs="仿宋_GB2312"/>
                <w:szCs w:val="21"/>
                <w:lang w:bidi="ar-SA"/>
              </w:rPr>
              <w:t>第十七条 人民防空防护设备生产企业应当对其生产的人民防空防护设备产品质量负责，并接受发证机关以及生产地点所在地县级以上地方人民防空主管部门的监督检查。</w:t>
            </w:r>
          </w:p>
        </w:tc>
        <w:tc>
          <w:tcPr>
            <w:tcW w:w="1788" w:type="dxa"/>
            <w:noWrap w:val="0"/>
            <w:vAlign w:val="center"/>
          </w:tcPr>
          <w:p>
            <w:pPr>
              <w:adjustRightInd w:val="0"/>
              <w:snapToGrid w:val="0"/>
              <w:rPr>
                <w:rFonts w:hint="eastAsia" w:ascii="仿宋_GB2312" w:eastAsia="仿宋_GB2312" w:cs="仿宋_GB2312"/>
                <w:szCs w:val="21"/>
                <w:lang w:bidi="ar-SA"/>
              </w:rPr>
            </w:pPr>
          </w:p>
        </w:tc>
        <w:tc>
          <w:tcPr>
            <w:tcW w:w="1087" w:type="dxa"/>
            <w:noWrap w:val="0"/>
            <w:vAlign w:val="center"/>
          </w:tcPr>
          <w:p>
            <w:pPr>
              <w:adjustRightInd w:val="0"/>
              <w:snapToGrid w:val="0"/>
              <w:rPr>
                <w:rFonts w:hint="eastAsia" w:ascii="仿宋_GB2312" w:eastAsia="仿宋_GB2312" w:cs="仿宋_GB2312"/>
                <w:szCs w:val="21"/>
                <w:lang w:bidi="ar-SA"/>
              </w:rPr>
            </w:pPr>
            <w:r>
              <w:rPr>
                <w:rFonts w:hint="eastAsia" w:ascii="仿宋_GB2312" w:eastAsia="仿宋_GB2312" w:cs="仿宋_GB2312"/>
                <w:szCs w:val="21"/>
                <w:lang w:bidi="ar-SA"/>
              </w:rPr>
              <w:t>市</w:t>
            </w:r>
            <w:r>
              <w:rPr>
                <w:rFonts w:hint="eastAsia" w:ascii="仿宋_GB2312" w:eastAsia="仿宋_GB2312" w:cs="仿宋_GB2312"/>
                <w:szCs w:val="21"/>
                <w:lang w:eastAsia="zh-CN" w:bidi="ar-SA"/>
              </w:rPr>
              <w:t>本</w:t>
            </w:r>
            <w:r>
              <w:rPr>
                <w:rFonts w:hint="eastAsia" w:ascii="仿宋_GB2312" w:eastAsia="仿宋_GB2312" w:cs="仿宋_GB2312"/>
                <w:szCs w:val="21"/>
                <w:lang w:bidi="ar-SA"/>
              </w:rPr>
              <w:t>级、</w:t>
            </w:r>
            <w:r>
              <w:rPr>
                <w:rFonts w:hint="eastAsia" w:ascii="仿宋_GB2312" w:eastAsia="仿宋_GB2312" w:cs="仿宋_GB2312"/>
                <w:szCs w:val="21"/>
                <w:lang w:eastAsia="zh-CN" w:bidi="ar-SA"/>
              </w:rPr>
              <w:t>各县（市）</w:t>
            </w:r>
            <w:r>
              <w:rPr>
                <w:rFonts w:hint="eastAsia" w:ascii="仿宋_GB2312" w:eastAsia="仿宋_GB2312" w:cs="仿宋_GB2312"/>
                <w:szCs w:val="21"/>
                <w:lang w:bidi="ar-SA"/>
              </w:rPr>
              <w:t>级人民防空主管部</w:t>
            </w:r>
          </w:p>
        </w:tc>
        <w:tc>
          <w:tcPr>
            <w:tcW w:w="648" w:type="dxa"/>
            <w:noWrap w:val="0"/>
            <w:vAlign w:val="center"/>
          </w:tcPr>
          <w:p>
            <w:pPr>
              <w:adjustRightInd w:val="0"/>
              <w:snapToGrid w:val="0"/>
              <w:rPr>
                <w:rFonts w:hint="eastAsia" w:ascii="仿宋_GB2312" w:eastAsia="仿宋_GB2312" w:cs="仿宋_GB2312"/>
                <w:szCs w:val="21"/>
                <w:lang w:bidi="ar-SA"/>
              </w:rPr>
            </w:pPr>
            <w:r>
              <w:rPr>
                <w:rFonts w:hint="eastAsia" w:ascii="仿宋_GB2312" w:eastAsia="仿宋_GB2312" w:cs="仿宋_GB2312"/>
                <w:szCs w:val="21"/>
                <w:lang w:bidi="ar-SA"/>
              </w:rPr>
              <w:t>现场检查、非现场检查相结合</w:t>
            </w:r>
          </w:p>
        </w:tc>
        <w:tc>
          <w:tcPr>
            <w:tcW w:w="745" w:type="dxa"/>
            <w:noWrap w:val="0"/>
            <w:vAlign w:val="center"/>
          </w:tcPr>
          <w:p>
            <w:pPr>
              <w:adjustRightInd w:val="0"/>
              <w:snapToGrid w:val="0"/>
              <w:rPr>
                <w:rFonts w:hint="eastAsia" w:ascii="仿宋_GB2312" w:eastAsia="仿宋_GB2312" w:cs="仿宋_GB2312"/>
                <w:szCs w:val="21"/>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582" w:hRule="atLeast"/>
          <w:tblHeader/>
          <w:jc w:val="center"/>
        </w:trPr>
        <w:tc>
          <w:tcPr>
            <w:tcW w:w="360" w:type="dxa"/>
            <w:noWrap w:val="0"/>
            <w:vAlign w:val="center"/>
          </w:tcPr>
          <w:p>
            <w:pPr>
              <w:adjustRightInd w:val="0"/>
              <w:snapToGrid w:val="0"/>
              <w:jc w:val="center"/>
              <w:rPr>
                <w:rFonts w:hint="eastAsia" w:ascii="仿宋_GB2312" w:eastAsia="仿宋_GB2312" w:cs="仿宋_GB2312"/>
                <w:szCs w:val="21"/>
                <w:lang w:bidi="ar-SA"/>
              </w:rPr>
            </w:pPr>
            <w:r>
              <w:rPr>
                <w:rFonts w:hint="eastAsia" w:ascii="仿宋_GB2312" w:eastAsia="仿宋_GB2312" w:cs="仿宋_GB2312"/>
                <w:szCs w:val="21"/>
                <w:lang w:bidi="ar-SA"/>
              </w:rPr>
              <w:t>5</w:t>
            </w:r>
          </w:p>
        </w:tc>
        <w:tc>
          <w:tcPr>
            <w:tcW w:w="1223" w:type="dxa"/>
            <w:noWrap w:val="0"/>
            <w:vAlign w:val="center"/>
          </w:tcPr>
          <w:p>
            <w:pPr>
              <w:adjustRightInd w:val="0"/>
              <w:snapToGrid w:val="0"/>
              <w:rPr>
                <w:rFonts w:hint="eastAsia" w:ascii="仿宋_GB2312" w:eastAsia="仿宋_GB2312" w:cs="仿宋_GB2312"/>
                <w:bCs w:val="0"/>
                <w:szCs w:val="21"/>
                <w:lang w:bidi="ar-SA"/>
              </w:rPr>
            </w:pPr>
            <w:r>
              <w:rPr>
                <w:rFonts w:hint="eastAsia" w:ascii="仿宋_GB2312" w:eastAsia="仿宋_GB2312" w:cs="仿宋_GB2312"/>
                <w:bCs w:val="0"/>
                <w:szCs w:val="21"/>
                <w:lang w:bidi="ar-SA"/>
              </w:rPr>
              <w:t>对城市的地下交通干线和其他地下工程兼顾人民防空需要以及城市新建民用建筑修建防空地下室情况的行政检查</w:t>
            </w:r>
          </w:p>
        </w:tc>
        <w:tc>
          <w:tcPr>
            <w:tcW w:w="1774" w:type="dxa"/>
            <w:noWrap w:val="0"/>
            <w:vAlign w:val="center"/>
          </w:tcPr>
          <w:p>
            <w:pPr>
              <w:adjustRightInd w:val="0"/>
              <w:snapToGrid w:val="0"/>
              <w:rPr>
                <w:rFonts w:hint="eastAsia" w:ascii="仿宋_GB2312" w:eastAsia="仿宋_GB2312" w:cs="仿宋_GB2312"/>
                <w:bCs w:val="0"/>
                <w:szCs w:val="21"/>
                <w:lang w:bidi="ar-SA"/>
              </w:rPr>
            </w:pPr>
            <w:r>
              <w:rPr>
                <w:rFonts w:hint="eastAsia" w:ascii="仿宋_GB2312" w:eastAsia="仿宋_GB2312" w:cs="仿宋_GB2312"/>
                <w:bCs w:val="0"/>
                <w:szCs w:val="21"/>
                <w:lang w:bidi="ar-SA"/>
              </w:rPr>
              <w:t>【法律】《中华人民共和国人民防空法》（2009年8月27日修订）</w:t>
            </w:r>
          </w:p>
          <w:p>
            <w:pPr>
              <w:adjustRightInd w:val="0"/>
              <w:snapToGrid w:val="0"/>
              <w:rPr>
                <w:rFonts w:hint="eastAsia" w:ascii="仿宋_GB2312" w:eastAsia="仿宋_GB2312" w:cs="仿宋_GB2312"/>
                <w:bCs w:val="0"/>
                <w:szCs w:val="21"/>
                <w:lang w:bidi="ar-SA"/>
              </w:rPr>
            </w:pPr>
            <w:r>
              <w:rPr>
                <w:rFonts w:hint="eastAsia" w:ascii="仿宋_GB2312" w:eastAsia="仿宋_GB2312" w:cs="仿宋_GB2312"/>
                <w:bCs w:val="0"/>
                <w:szCs w:val="21"/>
                <w:lang w:bidi="ar-SA"/>
              </w:rPr>
              <w:t>第七条第三款 县级以上地方各级人民政府人民防空主管部门管理本行政区域的人民防空工作。</w:t>
            </w:r>
          </w:p>
          <w:p>
            <w:pPr>
              <w:adjustRightInd w:val="0"/>
              <w:snapToGrid w:val="0"/>
              <w:rPr>
                <w:rFonts w:hint="eastAsia" w:ascii="仿宋_GB2312" w:eastAsia="仿宋_GB2312" w:cs="仿宋_GB2312"/>
                <w:bCs w:val="0"/>
                <w:szCs w:val="21"/>
                <w:lang w:bidi="ar-SA"/>
              </w:rPr>
            </w:pPr>
            <w:r>
              <w:rPr>
                <w:rFonts w:hint="eastAsia" w:ascii="仿宋_GB2312" w:eastAsia="仿宋_GB2312" w:cs="仿宋_GB2312"/>
                <w:bCs w:val="0"/>
                <w:szCs w:val="21"/>
                <w:lang w:bidi="ar-SA"/>
              </w:rPr>
              <w:t>第十四条 城市的地下交通干线以及其他地下工程的建设，应当兼顾人民防空需要。</w:t>
            </w:r>
          </w:p>
          <w:p>
            <w:pPr>
              <w:adjustRightInd w:val="0"/>
              <w:snapToGrid w:val="0"/>
              <w:rPr>
                <w:rFonts w:hint="eastAsia" w:ascii="仿宋_GB2312" w:eastAsia="仿宋_GB2312" w:cs="仿宋_GB2312"/>
                <w:bCs w:val="0"/>
                <w:szCs w:val="21"/>
                <w:lang w:bidi="ar-SA"/>
              </w:rPr>
            </w:pPr>
            <w:r>
              <w:rPr>
                <w:rFonts w:hint="eastAsia" w:ascii="仿宋_GB2312" w:eastAsia="仿宋_GB2312" w:cs="仿宋_GB2312"/>
                <w:bCs w:val="0"/>
                <w:szCs w:val="21"/>
                <w:lang w:bidi="ar-SA"/>
              </w:rPr>
              <w:t>第十七条 人民防空主管部门应当依照规定对城市和经济目标的人民防空建设进行监督检查。被检查单位应当如实提供情况和必要的资料。</w:t>
            </w:r>
          </w:p>
          <w:p>
            <w:pPr>
              <w:adjustRightInd w:val="0"/>
              <w:snapToGrid w:val="0"/>
              <w:rPr>
                <w:rFonts w:hint="eastAsia" w:ascii="仿宋_GB2312" w:eastAsia="仿宋_GB2312" w:cs="仿宋_GB2312"/>
                <w:szCs w:val="21"/>
                <w:lang w:bidi="ar-SA"/>
              </w:rPr>
            </w:pPr>
            <w:r>
              <w:rPr>
                <w:rFonts w:hint="eastAsia" w:ascii="仿宋_GB2312" w:eastAsia="仿宋_GB2312" w:cs="仿宋_GB2312"/>
                <w:bCs w:val="0"/>
                <w:szCs w:val="21"/>
                <w:lang w:bidi="ar-SA"/>
              </w:rPr>
              <w:t>第二十二条 城市新建民用建筑，按照国家有关规定修建战时可用于防空的地下室。</w:t>
            </w:r>
          </w:p>
        </w:tc>
        <w:tc>
          <w:tcPr>
            <w:tcW w:w="2324" w:type="dxa"/>
            <w:noWrap w:val="0"/>
            <w:vAlign w:val="center"/>
          </w:tcPr>
          <w:p>
            <w:pPr>
              <w:adjustRightInd w:val="0"/>
              <w:snapToGrid w:val="0"/>
              <w:rPr>
                <w:rFonts w:hint="eastAsia" w:ascii="仿宋_GB2312" w:eastAsia="仿宋_GB2312" w:cs="仿宋_GB2312"/>
                <w:szCs w:val="21"/>
                <w:lang w:bidi="ar-SA"/>
              </w:rPr>
            </w:pPr>
          </w:p>
        </w:tc>
        <w:tc>
          <w:tcPr>
            <w:tcW w:w="2787" w:type="dxa"/>
            <w:noWrap w:val="0"/>
            <w:vAlign w:val="center"/>
          </w:tcPr>
          <w:p>
            <w:pPr>
              <w:adjustRightInd w:val="0"/>
              <w:snapToGrid w:val="0"/>
              <w:rPr>
                <w:rFonts w:hint="eastAsia" w:ascii="仿宋_GB2312" w:eastAsia="仿宋_GB2312" w:cs="仿宋_GB2312"/>
                <w:szCs w:val="21"/>
                <w:lang w:bidi="ar-SA"/>
              </w:rPr>
            </w:pPr>
          </w:p>
        </w:tc>
        <w:tc>
          <w:tcPr>
            <w:tcW w:w="2500" w:type="dxa"/>
            <w:noWrap w:val="0"/>
            <w:vAlign w:val="center"/>
          </w:tcPr>
          <w:p>
            <w:pPr>
              <w:adjustRightInd w:val="0"/>
              <w:snapToGrid w:val="0"/>
              <w:rPr>
                <w:rFonts w:hint="eastAsia" w:ascii="仿宋_GB2312" w:eastAsia="仿宋_GB2312" w:cs="仿宋_GB2312"/>
                <w:bCs w:val="0"/>
                <w:szCs w:val="21"/>
                <w:lang w:bidi="ar-SA"/>
              </w:rPr>
            </w:pPr>
            <w:r>
              <w:rPr>
                <w:rFonts w:hint="eastAsia" w:ascii="仿宋_GB2312" w:eastAsia="仿宋_GB2312" w:cs="仿宋_GB2312"/>
                <w:bCs w:val="0"/>
                <w:szCs w:val="21"/>
                <w:lang w:bidi="ar-SA"/>
              </w:rPr>
              <w:t>【部委规章】《人民防空工程建设管理规定》（〔2003〕国人防办字第18号，国家国动委、国家发计委、建设部、财政部颁发）</w:t>
            </w:r>
          </w:p>
          <w:p>
            <w:pPr>
              <w:adjustRightInd w:val="0"/>
              <w:snapToGrid w:val="0"/>
              <w:rPr>
                <w:rFonts w:hint="eastAsia" w:ascii="仿宋_GB2312" w:eastAsia="仿宋_GB2312" w:cs="仿宋_GB2312"/>
                <w:szCs w:val="21"/>
                <w:lang w:bidi="ar-SA"/>
              </w:rPr>
            </w:pPr>
            <w:r>
              <w:rPr>
                <w:rFonts w:hint="eastAsia" w:ascii="仿宋_GB2312" w:eastAsia="仿宋_GB2312" w:cs="仿宋_GB2312"/>
                <w:bCs w:val="0"/>
                <w:szCs w:val="21"/>
                <w:lang w:bidi="ar-SA"/>
              </w:rPr>
              <w:t>第六条 县级以上人民政府人民防空主管部门负责防空地下室建设和城市地下空间开发利用兼顾人民防空防护要求的管理和监督检查。</w:t>
            </w:r>
          </w:p>
        </w:tc>
        <w:tc>
          <w:tcPr>
            <w:tcW w:w="1788" w:type="dxa"/>
            <w:noWrap w:val="0"/>
            <w:vAlign w:val="center"/>
          </w:tcPr>
          <w:p>
            <w:pPr>
              <w:adjustRightInd w:val="0"/>
              <w:snapToGrid w:val="0"/>
              <w:rPr>
                <w:rFonts w:hint="eastAsia" w:ascii="仿宋_GB2312" w:eastAsia="仿宋_GB2312" w:cs="仿宋_GB2312"/>
                <w:b/>
                <w:bCs w:val="0"/>
                <w:color w:val="FF0000"/>
                <w:szCs w:val="21"/>
                <w:lang w:bidi="ar-SA"/>
              </w:rPr>
            </w:pPr>
          </w:p>
        </w:tc>
        <w:tc>
          <w:tcPr>
            <w:tcW w:w="1087" w:type="dxa"/>
            <w:noWrap w:val="0"/>
            <w:vAlign w:val="center"/>
          </w:tcPr>
          <w:p>
            <w:pPr>
              <w:adjustRightInd w:val="0"/>
              <w:snapToGrid w:val="0"/>
              <w:rPr>
                <w:rFonts w:hint="eastAsia" w:ascii="仿宋_GB2312" w:eastAsia="仿宋_GB2312" w:cs="仿宋_GB2312"/>
                <w:szCs w:val="21"/>
                <w:lang w:bidi="ar-SA"/>
              </w:rPr>
            </w:pPr>
            <w:r>
              <w:rPr>
                <w:rFonts w:hint="eastAsia" w:ascii="仿宋_GB2312" w:eastAsia="仿宋_GB2312" w:cs="仿宋_GB2312"/>
                <w:szCs w:val="21"/>
                <w:lang w:bidi="ar-SA"/>
              </w:rPr>
              <w:t>市</w:t>
            </w:r>
            <w:r>
              <w:rPr>
                <w:rFonts w:hint="eastAsia" w:ascii="仿宋_GB2312" w:eastAsia="仿宋_GB2312" w:cs="仿宋_GB2312"/>
                <w:szCs w:val="21"/>
                <w:lang w:eastAsia="zh-CN" w:bidi="ar-SA"/>
              </w:rPr>
              <w:t>本</w:t>
            </w:r>
            <w:r>
              <w:rPr>
                <w:rFonts w:hint="eastAsia" w:ascii="仿宋_GB2312" w:eastAsia="仿宋_GB2312" w:cs="仿宋_GB2312"/>
                <w:szCs w:val="21"/>
                <w:lang w:bidi="ar-SA"/>
              </w:rPr>
              <w:t>级、</w:t>
            </w:r>
            <w:r>
              <w:rPr>
                <w:rFonts w:hint="eastAsia" w:ascii="仿宋_GB2312" w:eastAsia="仿宋_GB2312" w:cs="仿宋_GB2312"/>
                <w:szCs w:val="21"/>
                <w:lang w:eastAsia="zh-CN" w:bidi="ar-SA"/>
              </w:rPr>
              <w:t>各县（市）</w:t>
            </w:r>
            <w:r>
              <w:rPr>
                <w:rFonts w:hint="eastAsia" w:ascii="仿宋_GB2312" w:eastAsia="仿宋_GB2312" w:cs="仿宋_GB2312"/>
                <w:szCs w:val="21"/>
                <w:lang w:bidi="ar-SA"/>
              </w:rPr>
              <w:t>级人民防空主管部</w:t>
            </w:r>
          </w:p>
        </w:tc>
        <w:tc>
          <w:tcPr>
            <w:tcW w:w="648" w:type="dxa"/>
            <w:noWrap w:val="0"/>
            <w:vAlign w:val="center"/>
          </w:tcPr>
          <w:p>
            <w:pPr>
              <w:adjustRightInd w:val="0"/>
              <w:snapToGrid w:val="0"/>
              <w:rPr>
                <w:rFonts w:hint="eastAsia" w:ascii="仿宋_GB2312" w:eastAsia="仿宋_GB2312" w:cs="仿宋_GB2312"/>
                <w:szCs w:val="21"/>
                <w:lang w:bidi="ar-SA"/>
              </w:rPr>
            </w:pPr>
            <w:r>
              <w:rPr>
                <w:rFonts w:hint="eastAsia" w:ascii="仿宋_GB2312" w:eastAsia="仿宋_GB2312" w:cs="仿宋_GB2312"/>
                <w:szCs w:val="21"/>
                <w:lang w:bidi="ar-SA"/>
              </w:rPr>
              <w:t>现场检查、非现场检查相结合</w:t>
            </w:r>
          </w:p>
        </w:tc>
        <w:tc>
          <w:tcPr>
            <w:tcW w:w="745" w:type="dxa"/>
            <w:noWrap w:val="0"/>
            <w:vAlign w:val="center"/>
          </w:tcPr>
          <w:p>
            <w:pPr>
              <w:adjustRightInd w:val="0"/>
              <w:snapToGrid w:val="0"/>
              <w:rPr>
                <w:rFonts w:hint="eastAsia" w:ascii="仿宋_GB2312" w:eastAsia="仿宋_GB2312" w:cs="仿宋_GB2312"/>
                <w:szCs w:val="21"/>
                <w:lang w:bidi="ar-SA"/>
              </w:rPr>
            </w:pPr>
          </w:p>
        </w:tc>
      </w:tr>
    </w:tbl>
    <w:p>
      <w:pPr>
        <w:pStyle w:val="2"/>
        <w:rPr>
          <w:rFonts w:hint="default" w:ascii="Times New Roman" w:hAnsi="Times New Roman" w:eastAsia="仿宋_GB2312"/>
          <w:i w:val="0"/>
          <w:sz w:val="44"/>
          <w:szCs w:val="44"/>
          <w:shd w:val="clear" w:color="auto" w:fill="FFFFFF"/>
        </w:rPr>
      </w:pPr>
    </w:p>
    <w:p/>
    <w:sectPr>
      <w:pgSz w:w="16840" w:h="11907" w:orient="landscape"/>
      <w:pgMar w:top="851" w:right="851" w:bottom="851" w:left="85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简体">
    <w:panose1 w:val="03000509000000000000"/>
    <w:charset w:val="86"/>
    <w:family w:val="auto"/>
    <w:pitch w:val="default"/>
    <w:sig w:usb0="00000001" w:usb1="080E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4"/>
  <w:bordersDoNotSurroundHeader w:val="true"/>
  <w:bordersDoNotSurroundFooter w:val="true"/>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EAB0813"/>
    <w:rsid w:val="D3E80D67"/>
    <w:rsid w:val="D67FF7DA"/>
    <w:rsid w:val="D96DAECB"/>
    <w:rsid w:val="FEF5AAA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qFormat="1"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HTML Address"/>
    <w:basedOn w:val="1"/>
    <w:qFormat/>
    <w:uiPriority w:val="0"/>
    <w:pPr>
      <w:widowControl w:val="0"/>
      <w:jc w:val="both"/>
    </w:pPr>
    <w:rPr>
      <w:rFonts w:ascii="Calibri" w:hAnsi="Calibri" w:eastAsia="宋体" w:cs="Times New Roman"/>
      <w:i/>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Office_11.8.2.10587_F1E327BC-269C-435d-A152-05C5408002CA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2014-10-30T20:08:00Z</dcterms:created>
  <dc:creator>Administrator</dc:creator>
  <cp:lastModifiedBy>ht-706</cp:lastModifiedBy>
  <dcterms:modified xsi:type="dcterms:W3CDTF">2025-07-14T09:21:06Z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2052-11.8.2.10587</vt:lpwstr>
  </property>
</Properties>
</file>