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858DDE">
      <w:pPr>
        <w:spacing w:line="320" w:lineRule="exact"/>
        <w:ind w:firstLine="200"/>
        <w:jc w:val="both"/>
        <w:rPr>
          <w:rFonts w:hint="eastAsia" w:eastAsia="宋体"/>
          <w:b/>
          <w:bCs/>
          <w:sz w:val="24"/>
          <w:szCs w:val="24"/>
          <w:lang w:eastAsia="zh-CN"/>
        </w:rPr>
      </w:pPr>
      <w:r>
        <w:rPr>
          <w:b/>
          <w:bCs/>
          <w:color w:val="000000"/>
          <w:sz w:val="24"/>
          <w:szCs w:val="24"/>
        </w:rPr>
        <w:t>附件</w:t>
      </w:r>
      <w:r>
        <w:rPr>
          <w:rFonts w:hint="eastAsia"/>
          <w:b/>
          <w:bCs/>
          <w:color w:val="000000"/>
          <w:sz w:val="24"/>
          <w:szCs w:val="24"/>
          <w:lang w:val="en-US" w:eastAsia="zh-CN"/>
        </w:rPr>
        <w:t>2</w:t>
      </w:r>
    </w:p>
    <w:p w14:paraId="52C16D64">
      <w:pPr>
        <w:spacing w:after="280" w:line="400" w:lineRule="exact"/>
        <w:jc w:val="center"/>
      </w:pPr>
      <w:r>
        <w:rPr>
          <w:rFonts w:hint="eastAsia" w:ascii="方正小标宋简体" w:hAnsi="方正小标宋简体" w:eastAsia="方正小标宋简体" w:cs="方正小标宋简体"/>
          <w:color w:val="000000"/>
          <w:sz w:val="32"/>
          <w:szCs w:val="32"/>
          <w:lang w:eastAsia="zh-CN"/>
        </w:rPr>
        <w:t>葫芦岛市</w:t>
      </w:r>
      <w:r>
        <w:rPr>
          <w:rFonts w:hint="eastAsia" w:ascii="方正小标宋简体" w:hAnsi="方正小标宋简体" w:eastAsia="方正小标宋简体" w:cs="方正小标宋简体"/>
          <w:color w:val="000000"/>
          <w:sz w:val="32"/>
          <w:szCs w:val="32"/>
        </w:rPr>
        <w:t>发展改革委从轻减轻行政处罚事项清单</w:t>
      </w:r>
    </w:p>
    <w:tbl>
      <w:tblPr>
        <w:tblStyle w:val="28"/>
        <w:tblW w:w="0" w:type="auto"/>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 w:type="dxa"/>
          <w:bottom w:w="0" w:type="dxa"/>
          <w:right w:w="10" w:type="dxa"/>
        </w:tblCellMar>
      </w:tblPr>
      <w:tblGrid>
        <w:gridCol w:w="560"/>
        <w:gridCol w:w="940"/>
        <w:gridCol w:w="1300"/>
        <w:gridCol w:w="2640"/>
        <w:gridCol w:w="1200"/>
        <w:gridCol w:w="7300"/>
        <w:gridCol w:w="1200"/>
      </w:tblGrid>
      <w:tr w14:paraId="1CF8A4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991" w:hRule="atLeast"/>
        </w:trPr>
        <w:tc>
          <w:tcPr>
            <w:tcW w:w="560" w:type="dxa"/>
            <w:noWrap w:val="0"/>
            <w:vAlign w:val="center"/>
          </w:tcPr>
          <w:p w14:paraId="06C673D9">
            <w:pPr>
              <w:jc w:val="center"/>
              <w:rPr>
                <w:b/>
                <w:bCs/>
                <w:sz w:val="24"/>
                <w:szCs w:val="24"/>
              </w:rPr>
            </w:pPr>
            <w:r>
              <w:rPr>
                <w:rFonts w:hint="eastAsia"/>
                <w:b/>
                <w:bCs/>
                <w:sz w:val="24"/>
                <w:szCs w:val="24"/>
              </w:rPr>
              <w:t>序号</w:t>
            </w:r>
          </w:p>
        </w:tc>
        <w:tc>
          <w:tcPr>
            <w:tcW w:w="940" w:type="dxa"/>
            <w:noWrap w:val="0"/>
            <w:vAlign w:val="center"/>
          </w:tcPr>
          <w:p w14:paraId="0FD32DE2">
            <w:pPr>
              <w:jc w:val="center"/>
              <w:rPr>
                <w:b/>
                <w:bCs/>
                <w:sz w:val="24"/>
                <w:szCs w:val="24"/>
              </w:rPr>
            </w:pPr>
            <w:r>
              <w:rPr>
                <w:rFonts w:hint="eastAsia"/>
                <w:b/>
                <w:bCs/>
                <w:sz w:val="24"/>
                <w:szCs w:val="24"/>
              </w:rPr>
              <w:t>管理领域</w:t>
            </w:r>
          </w:p>
        </w:tc>
        <w:tc>
          <w:tcPr>
            <w:tcW w:w="1300" w:type="dxa"/>
            <w:noWrap w:val="0"/>
            <w:vAlign w:val="center"/>
          </w:tcPr>
          <w:p w14:paraId="4C430610">
            <w:pPr>
              <w:jc w:val="center"/>
              <w:rPr>
                <w:b/>
                <w:bCs/>
                <w:sz w:val="24"/>
                <w:szCs w:val="24"/>
              </w:rPr>
            </w:pPr>
            <w:r>
              <w:rPr>
                <w:rFonts w:hint="eastAsia"/>
                <w:b/>
                <w:bCs/>
                <w:sz w:val="24"/>
                <w:szCs w:val="24"/>
              </w:rPr>
              <w:t>违法事项</w:t>
            </w:r>
          </w:p>
        </w:tc>
        <w:tc>
          <w:tcPr>
            <w:tcW w:w="2640" w:type="dxa"/>
            <w:noWrap w:val="0"/>
            <w:vAlign w:val="center"/>
          </w:tcPr>
          <w:p w14:paraId="6540ABB4">
            <w:pPr>
              <w:jc w:val="center"/>
              <w:rPr>
                <w:b/>
                <w:bCs/>
                <w:sz w:val="24"/>
                <w:szCs w:val="24"/>
              </w:rPr>
            </w:pPr>
            <w:r>
              <w:rPr>
                <w:rFonts w:hint="eastAsia"/>
                <w:b/>
                <w:bCs/>
                <w:sz w:val="24"/>
                <w:szCs w:val="24"/>
              </w:rPr>
              <w:t>适用情形</w:t>
            </w:r>
          </w:p>
        </w:tc>
        <w:tc>
          <w:tcPr>
            <w:tcW w:w="1200" w:type="dxa"/>
            <w:noWrap w:val="0"/>
            <w:vAlign w:val="center"/>
          </w:tcPr>
          <w:p w14:paraId="21F0EDF5">
            <w:pPr>
              <w:jc w:val="center"/>
              <w:rPr>
                <w:b/>
                <w:bCs/>
                <w:sz w:val="24"/>
                <w:szCs w:val="24"/>
              </w:rPr>
            </w:pPr>
            <w:r>
              <w:rPr>
                <w:rFonts w:hint="eastAsia"/>
                <w:b/>
                <w:bCs/>
                <w:sz w:val="24"/>
                <w:szCs w:val="24"/>
              </w:rPr>
              <w:t>从轻减轻处罚幅度</w:t>
            </w:r>
          </w:p>
        </w:tc>
        <w:tc>
          <w:tcPr>
            <w:tcW w:w="7300" w:type="dxa"/>
            <w:noWrap w:val="0"/>
            <w:vAlign w:val="center"/>
          </w:tcPr>
          <w:p w14:paraId="48A14AE5">
            <w:pPr>
              <w:jc w:val="center"/>
              <w:rPr>
                <w:b/>
                <w:bCs/>
                <w:sz w:val="24"/>
                <w:szCs w:val="24"/>
              </w:rPr>
            </w:pPr>
            <w:r>
              <w:rPr>
                <w:rFonts w:hint="eastAsia"/>
                <w:b/>
                <w:bCs/>
                <w:sz w:val="24"/>
                <w:szCs w:val="24"/>
              </w:rPr>
              <w:t>法定依据</w:t>
            </w:r>
          </w:p>
        </w:tc>
        <w:tc>
          <w:tcPr>
            <w:tcW w:w="1200" w:type="dxa"/>
            <w:noWrap w:val="0"/>
            <w:vAlign w:val="center"/>
          </w:tcPr>
          <w:p w14:paraId="498D5720">
            <w:pPr>
              <w:jc w:val="center"/>
              <w:rPr>
                <w:b/>
                <w:bCs/>
                <w:sz w:val="24"/>
                <w:szCs w:val="24"/>
              </w:rPr>
            </w:pPr>
            <w:r>
              <w:rPr>
                <w:rFonts w:hint="eastAsia"/>
                <w:b/>
                <w:bCs/>
                <w:sz w:val="24"/>
                <w:szCs w:val="24"/>
              </w:rPr>
              <w:t>权力层级</w:t>
            </w:r>
          </w:p>
        </w:tc>
      </w:tr>
      <w:tr w14:paraId="585FCF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7336" w:hRule="atLeast"/>
        </w:trPr>
        <w:tc>
          <w:tcPr>
            <w:tcW w:w="560" w:type="dxa"/>
            <w:noWrap w:val="0"/>
            <w:vAlign w:val="center"/>
          </w:tcPr>
          <w:p w14:paraId="4203B6D8">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940" w:type="dxa"/>
            <w:noWrap w:val="0"/>
            <w:vAlign w:val="center"/>
          </w:tcPr>
          <w:p w14:paraId="0A292B4A">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招标投标</w:t>
            </w:r>
          </w:p>
        </w:tc>
        <w:tc>
          <w:tcPr>
            <w:tcW w:w="1300" w:type="dxa"/>
            <w:noWrap w:val="0"/>
            <w:vAlign w:val="center"/>
          </w:tcPr>
          <w:p w14:paraId="26A8C5E1">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对不按照法律规定招标、不按照规定在指</w:t>
            </w:r>
          </w:p>
          <w:p w14:paraId="43B95E9B">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定媒介发布招标公告或在不同媒介发布的</w:t>
            </w:r>
          </w:p>
          <w:p w14:paraId="3897B681">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同一公告内容不一致的进行处罚</w:t>
            </w:r>
          </w:p>
        </w:tc>
        <w:tc>
          <w:tcPr>
            <w:tcW w:w="2640" w:type="dxa"/>
            <w:noWrap w:val="0"/>
            <w:vAlign w:val="center"/>
          </w:tcPr>
          <w:p w14:paraId="36E6455D">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4B9E6635">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60680E68">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47227AC4">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629F660D">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定其他应当从轻或者减轻行政处罚的.</w:t>
            </w:r>
          </w:p>
        </w:tc>
        <w:tc>
          <w:tcPr>
            <w:tcW w:w="1200" w:type="dxa"/>
            <w:noWrap w:val="0"/>
            <w:vAlign w:val="center"/>
          </w:tcPr>
          <w:p w14:paraId="6960716A">
            <w:pPr>
              <w:jc w:val="both"/>
              <w:rPr>
                <w:rFonts w:hint="eastAsia" w:ascii="仿宋_GB2312" w:hAnsi="仿宋_GB2312" w:eastAsia="仿宋_GB2312" w:cs="仿宋_GB2312"/>
                <w:sz w:val="21"/>
                <w:szCs w:val="21"/>
              </w:rPr>
            </w:pPr>
          </w:p>
        </w:tc>
        <w:tc>
          <w:tcPr>
            <w:tcW w:w="7300" w:type="dxa"/>
            <w:noWrap w:val="0"/>
            <w:vAlign w:val="center"/>
          </w:tcPr>
          <w:p w14:paraId="42DCEB16">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【法律】《中华人民共和国招标投标法》（2000年1月1日起施行）第四十九条 违反本法规定，必须进行招标的项目而不招标的，将必须进行招标的项目化整为零或者以其他任何方式规避招标的，责令限期改正，可以处项目合同金额千分之五以上千分之十以下的罚款：对全部或者部分国有资金的项目，可以暂停项目执行或者暂停资金拨付：对单位直接负责的主管人员和其他直接责任人</w:t>
            </w:r>
            <w:r>
              <w:rPr>
                <w:rFonts w:hint="eastAsia" w:ascii="仿宋_GB2312" w:hAnsi="仿宋_GB2312" w:eastAsia="仿宋_GB2312" w:cs="仿宋_GB2312"/>
                <w:sz w:val="21"/>
                <w:szCs w:val="21"/>
                <w:lang w:eastAsia="zh-CN"/>
              </w:rPr>
              <w:t>依法给予</w:t>
            </w:r>
            <w:r>
              <w:rPr>
                <w:rFonts w:hint="eastAsia" w:ascii="仿宋_GB2312" w:hAnsi="仿宋_GB2312" w:eastAsia="仿宋_GB2312" w:cs="仿宋_GB2312"/>
                <w:sz w:val="21"/>
                <w:szCs w:val="21"/>
              </w:rPr>
              <w:t>处分，第五十一条 招标人以不合理的条件限制或者排斥潜在投标人的，对潜在投标人实行歧视待遇的，强制要求投标人组成联合体共同投标的，或者限制投标人之间竞争，可以处一万元以上五万元以下的罚款。</w:t>
            </w:r>
          </w:p>
          <w:p w14:paraId="225F130F">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【行政法规】《</w:t>
            </w:r>
            <w:r>
              <w:rPr>
                <w:rFonts w:hint="eastAsia" w:ascii="仿宋_GB2312" w:hAnsi="仿宋_GB2312" w:eastAsia="仿宋_GB2312" w:cs="仿宋_GB2312"/>
                <w:sz w:val="21"/>
                <w:szCs w:val="21"/>
                <w:lang w:eastAsia="zh-CN"/>
              </w:rPr>
              <w:t>中华人民共和国招标投标法</w:t>
            </w:r>
            <w:r>
              <w:rPr>
                <w:rFonts w:hint="eastAsia" w:ascii="仿宋_GB2312" w:hAnsi="仿宋_GB2312" w:eastAsia="仿宋_GB2312" w:cs="仿宋_GB2312"/>
                <w:sz w:val="21"/>
                <w:szCs w:val="21"/>
              </w:rPr>
              <w:t>实施条例》（2011年12月20日公布）第六十三条 招标人有下列限制或者排斥潜在投标人行为之一的由有关行政监督部门依据招标投标法第五十一条规定处罚：（1）依法应当公开招标的项目不按照规定在指定媒介发布资格预审公告或者招标公告；（2）在不同媒介发布的同一招标项目的资格预审公告或者招标公告内容不一致，影响潜在投标人申请资格预审或者投标：依法必须进行招标的项目不按照规定发布资格预审公告或者招标公告，构成规避招标的，依照依照招标投标法第四十九条规定处罚.【规章】《辽宁省招投标管理办法》（省政府令2003年第160号）第四十五条 招标人或者其委托的招标代理机构，对依法必须进行招标的项目，应当发布招标公告而不发布的，由发展计划行政主管部门或者有关行政管理部门按照《招标投标法》第四十九条的规定</w:t>
            </w:r>
            <w:r>
              <w:rPr>
                <w:rFonts w:hint="eastAsia" w:ascii="仿宋_GB2312" w:hAnsi="仿宋_GB2312" w:eastAsia="仿宋_GB2312" w:cs="仿宋_GB2312"/>
                <w:sz w:val="21"/>
                <w:szCs w:val="21"/>
                <w:lang w:val="en-US" w:eastAsia="zh-CN"/>
              </w:rPr>
              <w:t>予</w:t>
            </w:r>
            <w:r>
              <w:rPr>
                <w:rFonts w:hint="eastAsia" w:ascii="仿宋_GB2312" w:hAnsi="仿宋_GB2312" w:eastAsia="仿宋_GB2312" w:cs="仿宋_GB2312"/>
                <w:sz w:val="21"/>
                <w:szCs w:val="21"/>
              </w:rPr>
              <w:t>以处罚；第四十六条 招标人或者其委托的招标代理机构有下列行为之一的，由发展计划行政主管部门或者有关行政管理部门按照《招标投标法》第五十一条的规定予以处罚：（一）提供虚假的招标公告，证明材料的，或者招标公告含有欺诈内容的；（二）在两个以上媒介发布同一招标项目的招标公告内容不一致的</w:t>
            </w:r>
          </w:p>
        </w:tc>
        <w:tc>
          <w:tcPr>
            <w:tcW w:w="1200" w:type="dxa"/>
            <w:noWrap w:val="0"/>
            <w:vAlign w:val="center"/>
          </w:tcPr>
          <w:p w14:paraId="19D91675">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市</w:t>
            </w:r>
            <w:r>
              <w:rPr>
                <w:rFonts w:hint="eastAsia" w:ascii="仿宋_GB2312" w:hAnsi="仿宋_GB2312" w:eastAsia="仿宋_GB2312" w:cs="仿宋_GB2312"/>
                <w:sz w:val="21"/>
                <w:szCs w:val="21"/>
              </w:rPr>
              <w:t>发展和改革委</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县级发展</w:t>
            </w:r>
            <w:r>
              <w:rPr>
                <w:rFonts w:hint="eastAsia" w:ascii="仿宋_GB2312" w:hAnsi="仿宋_GB2312" w:eastAsia="仿宋_GB2312" w:cs="仿宋_GB2312"/>
                <w:sz w:val="21"/>
                <w:szCs w:val="21"/>
                <w:lang w:eastAsia="zh-CN"/>
              </w:rPr>
              <w:t>改革</w:t>
            </w:r>
            <w:r>
              <w:rPr>
                <w:rFonts w:hint="eastAsia" w:ascii="仿宋_GB2312" w:hAnsi="仿宋_GB2312" w:eastAsia="仿宋_GB2312" w:cs="仿宋_GB2312"/>
                <w:sz w:val="21"/>
                <w:szCs w:val="21"/>
              </w:rPr>
              <w:t>行政主管部门或者有关行政管理部门</w:t>
            </w:r>
          </w:p>
        </w:tc>
      </w:tr>
      <w:tr w14:paraId="7D043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681" w:hRule="atLeast"/>
        </w:trPr>
        <w:tc>
          <w:tcPr>
            <w:tcW w:w="560" w:type="dxa"/>
            <w:noWrap w:val="0"/>
            <w:vAlign w:val="center"/>
          </w:tcPr>
          <w:p w14:paraId="71B58B5E">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940" w:type="dxa"/>
            <w:noWrap w:val="0"/>
            <w:vAlign w:val="center"/>
          </w:tcPr>
          <w:p w14:paraId="121C128D">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招标投标</w:t>
            </w:r>
          </w:p>
        </w:tc>
        <w:tc>
          <w:tcPr>
            <w:tcW w:w="1300" w:type="dxa"/>
            <w:noWrap w:val="0"/>
            <w:vAlign w:val="center"/>
          </w:tcPr>
          <w:p w14:paraId="2518D521">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对必须进行招标的项目而不招标的，将必</w:t>
            </w:r>
          </w:p>
          <w:p w14:paraId="5F53E9CB">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须进行招标的项目化整为零或者其他任何方式规避招标处</w:t>
            </w:r>
          </w:p>
          <w:p w14:paraId="567FB2E0">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罚</w:t>
            </w:r>
          </w:p>
        </w:tc>
        <w:tc>
          <w:tcPr>
            <w:tcW w:w="2640" w:type="dxa"/>
            <w:noWrap w:val="0"/>
            <w:vAlign w:val="center"/>
          </w:tcPr>
          <w:p w14:paraId="37EB986E">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0CF98B8D">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7664559A">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6CC9E987">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7551EAB0">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定其他应当从轻或者减轻行政处罚的.</w:t>
            </w:r>
          </w:p>
        </w:tc>
        <w:tc>
          <w:tcPr>
            <w:tcW w:w="1200" w:type="dxa"/>
            <w:noWrap w:val="0"/>
            <w:vAlign w:val="center"/>
          </w:tcPr>
          <w:p w14:paraId="643A0ABF">
            <w:pPr>
              <w:jc w:val="both"/>
              <w:rPr>
                <w:rFonts w:hint="eastAsia" w:ascii="仿宋_GB2312" w:hAnsi="仿宋_GB2312" w:eastAsia="仿宋_GB2312" w:cs="仿宋_GB2312"/>
                <w:sz w:val="21"/>
                <w:szCs w:val="21"/>
              </w:rPr>
            </w:pPr>
          </w:p>
        </w:tc>
        <w:tc>
          <w:tcPr>
            <w:tcW w:w="7300" w:type="dxa"/>
            <w:noWrap w:val="0"/>
            <w:vAlign w:val="center"/>
          </w:tcPr>
          <w:p w14:paraId="30AC92A5">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【法律】《中华人民共和国招标投标法》（2000年1月1日起施行）第四十九条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p w14:paraId="1B3CA92B">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【行政法规】《</w:t>
            </w:r>
            <w:r>
              <w:rPr>
                <w:rFonts w:hint="eastAsia" w:ascii="仿宋_GB2312" w:hAnsi="仿宋_GB2312" w:eastAsia="仿宋_GB2312" w:cs="仿宋_GB2312"/>
                <w:sz w:val="21"/>
                <w:szCs w:val="21"/>
                <w:lang w:eastAsia="zh-CN"/>
              </w:rPr>
              <w:t>中华人民共和国招标投标法</w:t>
            </w:r>
            <w:r>
              <w:rPr>
                <w:rFonts w:hint="eastAsia" w:ascii="仿宋_GB2312" w:hAnsi="仿宋_GB2312" w:eastAsia="仿宋_GB2312" w:cs="仿宋_GB2312"/>
                <w:sz w:val="21"/>
                <w:szCs w:val="21"/>
              </w:rPr>
              <w:t>实施条例》（2011年12月20日公布）第六十三条 招标人有下列限制或者排斥潜在投标人行为之一的由有关行政监督部门依据招标投标法第五十一条规定处罚：（1）依法应当公开招标的项目不按照规定在指定媒介发布资格预审公告或者招标公告；（2）在不同媒介发布的同一招标项目的资格预审公告或者招标公告内容不一致，影响潜在投标人申请资格预审或者投标；依法必须进行招标的项目不按照规定发布资格预审公告或者招标公告，构成规避招标的、依照依照招标投标法第四十九条规定处罚。</w:t>
            </w:r>
          </w:p>
        </w:tc>
        <w:tc>
          <w:tcPr>
            <w:tcW w:w="1200" w:type="dxa"/>
            <w:noWrap w:val="0"/>
            <w:vAlign w:val="center"/>
          </w:tcPr>
          <w:p w14:paraId="7571926E">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市</w:t>
            </w:r>
            <w:r>
              <w:rPr>
                <w:rFonts w:hint="eastAsia" w:ascii="仿宋_GB2312" w:hAnsi="仿宋_GB2312" w:eastAsia="仿宋_GB2312" w:cs="仿宋_GB2312"/>
                <w:sz w:val="21"/>
                <w:szCs w:val="21"/>
              </w:rPr>
              <w:t>发展和改革委</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县级发展</w:t>
            </w:r>
            <w:r>
              <w:rPr>
                <w:rFonts w:hint="eastAsia" w:ascii="仿宋_GB2312" w:hAnsi="仿宋_GB2312" w:eastAsia="仿宋_GB2312" w:cs="仿宋_GB2312"/>
                <w:sz w:val="21"/>
                <w:szCs w:val="21"/>
                <w:lang w:eastAsia="zh-CN"/>
              </w:rPr>
              <w:t>改革</w:t>
            </w:r>
            <w:r>
              <w:rPr>
                <w:rFonts w:hint="eastAsia" w:ascii="仿宋_GB2312" w:hAnsi="仿宋_GB2312" w:eastAsia="仿宋_GB2312" w:cs="仿宋_GB2312"/>
                <w:sz w:val="21"/>
                <w:szCs w:val="21"/>
              </w:rPr>
              <w:t>行政主管部门或者有关行政管理部门</w:t>
            </w:r>
          </w:p>
        </w:tc>
      </w:tr>
      <w:tr w14:paraId="21452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890" w:hRule="atLeast"/>
        </w:trPr>
        <w:tc>
          <w:tcPr>
            <w:tcW w:w="560" w:type="dxa"/>
            <w:noWrap w:val="0"/>
            <w:vAlign w:val="center"/>
          </w:tcPr>
          <w:p w14:paraId="4D6F9B80">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940" w:type="dxa"/>
            <w:noWrap w:val="0"/>
            <w:vAlign w:val="center"/>
          </w:tcPr>
          <w:p w14:paraId="766E0D9B">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招标投标</w:t>
            </w:r>
          </w:p>
        </w:tc>
        <w:tc>
          <w:tcPr>
            <w:tcW w:w="1300" w:type="dxa"/>
            <w:noWrap w:val="0"/>
            <w:vAlign w:val="center"/>
          </w:tcPr>
          <w:p w14:paraId="341F82BE">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对泄露应当保密的与招标投标活动有关的情况和资料的，或者与招标人、投标人串通损害国家利益、社会公共利益或者他人合法权益的处罚</w:t>
            </w:r>
          </w:p>
        </w:tc>
        <w:tc>
          <w:tcPr>
            <w:tcW w:w="2640" w:type="dxa"/>
            <w:noWrap w:val="0"/>
            <w:vAlign w:val="center"/>
          </w:tcPr>
          <w:p w14:paraId="7D79FFFD">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4C3851E3">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096DFCEF">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51984E38">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4ECE0049">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定其他应当从轻或者减轻行政处罚的.</w:t>
            </w:r>
          </w:p>
        </w:tc>
        <w:tc>
          <w:tcPr>
            <w:tcW w:w="1200" w:type="dxa"/>
            <w:noWrap w:val="0"/>
            <w:vAlign w:val="center"/>
          </w:tcPr>
          <w:p w14:paraId="2EBCE364">
            <w:pPr>
              <w:jc w:val="both"/>
              <w:rPr>
                <w:rFonts w:hint="eastAsia" w:ascii="仿宋_GB2312" w:hAnsi="仿宋_GB2312" w:eastAsia="仿宋_GB2312" w:cs="仿宋_GB2312"/>
                <w:sz w:val="21"/>
                <w:szCs w:val="21"/>
              </w:rPr>
            </w:pPr>
          </w:p>
        </w:tc>
        <w:tc>
          <w:tcPr>
            <w:tcW w:w="7300" w:type="dxa"/>
            <w:noWrap w:val="0"/>
            <w:vAlign w:val="center"/>
          </w:tcPr>
          <w:p w14:paraId="1A898124">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【法律】《中华人民共和国招标投标法》（2000年1月1日起施行）第五十条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颥百分之五以上百分之十以下的罚款；有违法所得的，并处没收违法所得；请节严重的，暂停直至取消招标代理资格：构成犯罪的，依法追究刑事责任。给他人造成损失的，依法承担赔偿责任</w:t>
            </w:r>
            <w:r>
              <w:rPr>
                <w:rFonts w:hint="eastAsia" w:ascii="仿宋_GB2312" w:hAnsi="仿宋_GB2312" w:eastAsia="仿宋_GB2312" w:cs="仿宋_GB2312"/>
                <w:sz w:val="21"/>
                <w:szCs w:val="21"/>
                <w:lang w:eastAsia="zh-CN"/>
              </w:rPr>
              <w:t>。</w:t>
            </w:r>
          </w:p>
        </w:tc>
        <w:tc>
          <w:tcPr>
            <w:tcW w:w="1200" w:type="dxa"/>
            <w:noWrap w:val="0"/>
            <w:vAlign w:val="center"/>
          </w:tcPr>
          <w:p w14:paraId="5A712389">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市</w:t>
            </w:r>
            <w:r>
              <w:rPr>
                <w:rFonts w:hint="eastAsia" w:ascii="仿宋_GB2312" w:hAnsi="仿宋_GB2312" w:eastAsia="仿宋_GB2312" w:cs="仿宋_GB2312"/>
                <w:sz w:val="21"/>
                <w:szCs w:val="21"/>
              </w:rPr>
              <w:t>发展和改革委</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县级发展</w:t>
            </w:r>
            <w:r>
              <w:rPr>
                <w:rFonts w:hint="eastAsia" w:ascii="仿宋_GB2312" w:hAnsi="仿宋_GB2312" w:eastAsia="仿宋_GB2312" w:cs="仿宋_GB2312"/>
                <w:sz w:val="21"/>
                <w:szCs w:val="21"/>
                <w:lang w:eastAsia="zh-CN"/>
              </w:rPr>
              <w:t>改革</w:t>
            </w:r>
            <w:r>
              <w:rPr>
                <w:rFonts w:hint="eastAsia" w:ascii="仿宋_GB2312" w:hAnsi="仿宋_GB2312" w:eastAsia="仿宋_GB2312" w:cs="仿宋_GB2312"/>
                <w:sz w:val="21"/>
                <w:szCs w:val="21"/>
              </w:rPr>
              <w:t>行政主管部门或者有关行政管理部门</w:t>
            </w:r>
          </w:p>
        </w:tc>
      </w:tr>
    </w:tbl>
    <w:p w14:paraId="0454D402">
      <w:pPr>
        <w:sectPr>
          <w:footerReference r:id="rId3" w:type="default"/>
          <w:pgSz w:w="16840" w:h="11900"/>
          <w:pgMar w:top="520" w:right="740" w:bottom="520" w:left="740" w:header="0" w:footer="520" w:gutter="0"/>
          <w:cols w:space="1701" w:num="1"/>
        </w:sectPr>
      </w:pPr>
    </w:p>
    <w:tbl>
      <w:tblPr>
        <w:tblStyle w:val="28"/>
        <w:tblW w:w="0" w:type="auto"/>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 w:type="dxa"/>
          <w:bottom w:w="0" w:type="dxa"/>
          <w:right w:w="10" w:type="dxa"/>
        </w:tblCellMar>
      </w:tblPr>
      <w:tblGrid>
        <w:gridCol w:w="540"/>
        <w:gridCol w:w="940"/>
        <w:gridCol w:w="1300"/>
        <w:gridCol w:w="2640"/>
        <w:gridCol w:w="1200"/>
        <w:gridCol w:w="7260"/>
        <w:gridCol w:w="1200"/>
      </w:tblGrid>
      <w:tr w14:paraId="3092C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910" w:hRule="atLeast"/>
        </w:trPr>
        <w:tc>
          <w:tcPr>
            <w:tcW w:w="540" w:type="dxa"/>
            <w:noWrap w:val="0"/>
            <w:vAlign w:val="center"/>
          </w:tcPr>
          <w:p w14:paraId="55A5AEBE">
            <w:pPr>
              <w:jc w:val="center"/>
              <w:rPr>
                <w:b/>
                <w:bCs/>
                <w:sz w:val="24"/>
                <w:szCs w:val="24"/>
              </w:rPr>
            </w:pPr>
            <w:r>
              <w:rPr>
                <w:rFonts w:hint="eastAsia"/>
                <w:b/>
                <w:bCs/>
                <w:sz w:val="24"/>
                <w:szCs w:val="24"/>
              </w:rPr>
              <w:t>序号</w:t>
            </w:r>
          </w:p>
        </w:tc>
        <w:tc>
          <w:tcPr>
            <w:tcW w:w="940" w:type="dxa"/>
            <w:noWrap w:val="0"/>
            <w:vAlign w:val="center"/>
          </w:tcPr>
          <w:p w14:paraId="1545B25B">
            <w:pPr>
              <w:jc w:val="center"/>
              <w:rPr>
                <w:b/>
                <w:bCs/>
                <w:sz w:val="24"/>
                <w:szCs w:val="24"/>
              </w:rPr>
            </w:pPr>
            <w:r>
              <w:rPr>
                <w:rFonts w:hint="eastAsia"/>
                <w:b/>
                <w:bCs/>
                <w:sz w:val="24"/>
                <w:szCs w:val="24"/>
              </w:rPr>
              <w:t>管理领域</w:t>
            </w:r>
          </w:p>
        </w:tc>
        <w:tc>
          <w:tcPr>
            <w:tcW w:w="1300" w:type="dxa"/>
            <w:noWrap w:val="0"/>
            <w:vAlign w:val="center"/>
          </w:tcPr>
          <w:p w14:paraId="000667D7">
            <w:pPr>
              <w:jc w:val="center"/>
              <w:rPr>
                <w:b/>
                <w:bCs/>
                <w:sz w:val="24"/>
                <w:szCs w:val="24"/>
              </w:rPr>
            </w:pPr>
            <w:r>
              <w:rPr>
                <w:rFonts w:hint="eastAsia"/>
                <w:b/>
                <w:bCs/>
                <w:sz w:val="24"/>
                <w:szCs w:val="24"/>
              </w:rPr>
              <w:t>违法事项</w:t>
            </w:r>
          </w:p>
        </w:tc>
        <w:tc>
          <w:tcPr>
            <w:tcW w:w="2640" w:type="dxa"/>
            <w:noWrap w:val="0"/>
            <w:vAlign w:val="center"/>
          </w:tcPr>
          <w:p w14:paraId="0836703D">
            <w:pPr>
              <w:jc w:val="center"/>
              <w:rPr>
                <w:b/>
                <w:bCs/>
                <w:sz w:val="24"/>
                <w:szCs w:val="24"/>
              </w:rPr>
            </w:pPr>
            <w:r>
              <w:rPr>
                <w:rFonts w:hint="eastAsia"/>
                <w:b/>
                <w:bCs/>
                <w:sz w:val="24"/>
                <w:szCs w:val="24"/>
              </w:rPr>
              <w:t>适用情形</w:t>
            </w:r>
          </w:p>
        </w:tc>
        <w:tc>
          <w:tcPr>
            <w:tcW w:w="1200" w:type="dxa"/>
            <w:noWrap w:val="0"/>
            <w:vAlign w:val="center"/>
          </w:tcPr>
          <w:p w14:paraId="757ED2A5">
            <w:pPr>
              <w:jc w:val="center"/>
              <w:rPr>
                <w:b/>
                <w:bCs/>
                <w:sz w:val="24"/>
                <w:szCs w:val="24"/>
              </w:rPr>
            </w:pPr>
            <w:r>
              <w:rPr>
                <w:rFonts w:hint="eastAsia"/>
                <w:b/>
                <w:bCs/>
                <w:sz w:val="24"/>
                <w:szCs w:val="24"/>
              </w:rPr>
              <w:t>从轻减轻处罚幅度</w:t>
            </w:r>
          </w:p>
        </w:tc>
        <w:tc>
          <w:tcPr>
            <w:tcW w:w="7260" w:type="dxa"/>
            <w:noWrap w:val="0"/>
            <w:vAlign w:val="center"/>
          </w:tcPr>
          <w:p w14:paraId="20D520B0">
            <w:pPr>
              <w:jc w:val="center"/>
              <w:rPr>
                <w:b/>
                <w:bCs/>
                <w:sz w:val="24"/>
                <w:szCs w:val="24"/>
              </w:rPr>
            </w:pPr>
            <w:r>
              <w:rPr>
                <w:rFonts w:hint="eastAsia"/>
                <w:b/>
                <w:bCs/>
                <w:sz w:val="24"/>
                <w:szCs w:val="24"/>
              </w:rPr>
              <w:t>法定依据</w:t>
            </w:r>
          </w:p>
        </w:tc>
        <w:tc>
          <w:tcPr>
            <w:tcW w:w="1200" w:type="dxa"/>
            <w:noWrap w:val="0"/>
            <w:vAlign w:val="center"/>
          </w:tcPr>
          <w:p w14:paraId="698AC4D0">
            <w:pPr>
              <w:jc w:val="center"/>
              <w:rPr>
                <w:b/>
                <w:bCs/>
                <w:sz w:val="24"/>
                <w:szCs w:val="24"/>
              </w:rPr>
            </w:pPr>
            <w:r>
              <w:rPr>
                <w:rFonts w:hint="eastAsia"/>
                <w:b/>
                <w:bCs/>
                <w:sz w:val="24"/>
                <w:szCs w:val="24"/>
              </w:rPr>
              <w:t>权力层级</w:t>
            </w:r>
          </w:p>
        </w:tc>
      </w:tr>
      <w:tr w14:paraId="6619A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515" w:hRule="atLeast"/>
        </w:trPr>
        <w:tc>
          <w:tcPr>
            <w:tcW w:w="540" w:type="dxa"/>
            <w:noWrap w:val="0"/>
            <w:vAlign w:val="center"/>
          </w:tcPr>
          <w:p w14:paraId="0EE938B1">
            <w:pPr>
              <w:jc w:val="center"/>
              <w:rPr>
                <w:rFonts w:hint="eastAsia" w:ascii="仿宋_GB2312" w:hAnsi="仿宋_GB2312" w:eastAsia="仿宋_GB2312" w:cs="仿宋_GB2312"/>
              </w:rPr>
            </w:pPr>
            <w:r>
              <w:rPr>
                <w:rFonts w:hint="eastAsia" w:ascii="仿宋_GB2312" w:hAnsi="仿宋_GB2312" w:eastAsia="仿宋_GB2312" w:cs="仿宋_GB2312"/>
              </w:rPr>
              <w:t>4</w:t>
            </w:r>
          </w:p>
        </w:tc>
        <w:tc>
          <w:tcPr>
            <w:tcW w:w="940" w:type="dxa"/>
            <w:noWrap w:val="0"/>
            <w:vAlign w:val="center"/>
          </w:tcPr>
          <w:p w14:paraId="1943868E">
            <w:pPr>
              <w:jc w:val="both"/>
              <w:rPr>
                <w:rFonts w:hint="eastAsia" w:ascii="仿宋_GB2312" w:hAnsi="仿宋_GB2312" w:eastAsia="仿宋_GB2312" w:cs="仿宋_GB2312"/>
              </w:rPr>
            </w:pPr>
            <w:r>
              <w:rPr>
                <w:rFonts w:hint="eastAsia" w:ascii="仿宋_GB2312" w:hAnsi="仿宋_GB2312" w:eastAsia="仿宋_GB2312" w:cs="仿宋_GB2312"/>
              </w:rPr>
              <w:t>企业投资</w:t>
            </w:r>
          </w:p>
          <w:p w14:paraId="42D94639">
            <w:pPr>
              <w:jc w:val="both"/>
              <w:rPr>
                <w:rFonts w:hint="eastAsia" w:ascii="仿宋_GB2312" w:hAnsi="仿宋_GB2312" w:eastAsia="仿宋_GB2312" w:cs="仿宋_GB2312"/>
              </w:rPr>
            </w:pPr>
            <w:r>
              <w:rPr>
                <w:rFonts w:hint="eastAsia" w:ascii="仿宋_GB2312" w:hAnsi="仿宋_GB2312" w:eastAsia="仿宋_GB2312" w:cs="仿宋_GB2312"/>
              </w:rPr>
              <w:t>项目</w:t>
            </w:r>
          </w:p>
        </w:tc>
        <w:tc>
          <w:tcPr>
            <w:tcW w:w="1300" w:type="dxa"/>
            <w:noWrap w:val="0"/>
            <w:vAlign w:val="center"/>
          </w:tcPr>
          <w:p w14:paraId="6C6B76BA">
            <w:pPr>
              <w:jc w:val="both"/>
              <w:rPr>
                <w:rFonts w:hint="eastAsia" w:ascii="仿宋_GB2312" w:hAnsi="仿宋_GB2312" w:eastAsia="仿宋_GB2312" w:cs="仿宋_GB2312"/>
              </w:rPr>
            </w:pPr>
            <w:r>
              <w:rPr>
                <w:rFonts w:hint="eastAsia" w:ascii="仿宋_GB2312" w:hAnsi="仿宋_GB2312" w:eastAsia="仿宋_GB2312" w:cs="仿宋_GB2312"/>
              </w:rPr>
              <w:t>对企业未依法办理核准手续开工建设或者</w:t>
            </w:r>
          </w:p>
          <w:p w14:paraId="3BBDA06F">
            <w:pPr>
              <w:jc w:val="both"/>
              <w:rPr>
                <w:rFonts w:hint="eastAsia" w:ascii="仿宋_GB2312" w:hAnsi="仿宋_GB2312" w:eastAsia="仿宋_GB2312" w:cs="仿宋_GB2312"/>
              </w:rPr>
            </w:pPr>
            <w:r>
              <w:rPr>
                <w:rFonts w:hint="eastAsia" w:ascii="仿宋_GB2312" w:hAnsi="仿宋_GB2312" w:eastAsia="仿宋_GB2312" w:cs="仿宋_GB2312"/>
              </w:rPr>
              <w:t>未按照核准的建设地点、建设规模。建设</w:t>
            </w:r>
          </w:p>
          <w:p w14:paraId="4728252A">
            <w:pPr>
              <w:jc w:val="both"/>
              <w:rPr>
                <w:rFonts w:hint="eastAsia" w:ascii="仿宋_GB2312" w:hAnsi="仿宋_GB2312" w:eastAsia="仿宋_GB2312" w:cs="仿宋_GB2312"/>
              </w:rPr>
            </w:pPr>
            <w:r>
              <w:rPr>
                <w:rFonts w:hint="eastAsia" w:ascii="仿宋_GB2312" w:hAnsi="仿宋_GB2312" w:eastAsia="仿宋_GB2312" w:cs="仿宋_GB2312"/>
              </w:rPr>
              <w:t>内容等进行建设行为</w:t>
            </w:r>
          </w:p>
          <w:p w14:paraId="603D90CC">
            <w:pPr>
              <w:jc w:val="both"/>
              <w:rPr>
                <w:rFonts w:hint="eastAsia" w:ascii="仿宋_GB2312" w:hAnsi="仿宋_GB2312" w:eastAsia="仿宋_GB2312" w:cs="仿宋_GB2312"/>
              </w:rPr>
            </w:pPr>
            <w:r>
              <w:rPr>
                <w:rFonts w:hint="eastAsia" w:ascii="仿宋_GB2312" w:hAnsi="仿宋_GB2312" w:eastAsia="仿宋_GB2312" w:cs="仿宋_GB2312"/>
              </w:rPr>
              <w:t>的处罚</w:t>
            </w:r>
          </w:p>
        </w:tc>
        <w:tc>
          <w:tcPr>
            <w:tcW w:w="2640" w:type="dxa"/>
            <w:noWrap w:val="0"/>
            <w:vAlign w:val="center"/>
          </w:tcPr>
          <w:p w14:paraId="08FE74B4">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750470CA">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1C9A97D9">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7C64C078">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12F0EDA7">
            <w:pPr>
              <w:jc w:val="both"/>
              <w:rPr>
                <w:rFonts w:hint="eastAsia" w:ascii="仿宋_GB2312" w:hAnsi="仿宋_GB2312" w:eastAsia="仿宋_GB2312" w:cs="仿宋_GB2312"/>
              </w:rPr>
            </w:pPr>
            <w:r>
              <w:rPr>
                <w:rFonts w:hint="eastAsia" w:ascii="仿宋_GB2312" w:hAnsi="仿宋_GB2312" w:eastAsia="仿宋_GB2312" w:cs="仿宋_GB2312"/>
                <w:sz w:val="21"/>
                <w:szCs w:val="21"/>
              </w:rPr>
              <w:t>定其他应当从轻或者减轻行政处罚的.</w:t>
            </w:r>
          </w:p>
        </w:tc>
        <w:tc>
          <w:tcPr>
            <w:tcW w:w="1200" w:type="dxa"/>
            <w:noWrap w:val="0"/>
            <w:vAlign w:val="center"/>
          </w:tcPr>
          <w:p w14:paraId="36BC6E7A">
            <w:pPr>
              <w:jc w:val="both"/>
              <w:rPr>
                <w:rFonts w:hint="eastAsia" w:ascii="仿宋_GB2312" w:hAnsi="仿宋_GB2312" w:eastAsia="仿宋_GB2312" w:cs="仿宋_GB2312"/>
              </w:rPr>
            </w:pPr>
            <w:r>
              <w:rPr>
                <w:rFonts w:hint="eastAsia" w:ascii="仿宋_GB2312" w:hAnsi="仿宋_GB2312" w:eastAsia="仿宋_GB2312" w:cs="仿宋_GB2312"/>
              </w:rPr>
              <w:t>责令停止建设或者责令停产，对企业处项目总投资额1‰-2‰罚款，对直接负责的主管人员和其他直接责任人员处2-3万元罚款。</w:t>
            </w:r>
          </w:p>
        </w:tc>
        <w:tc>
          <w:tcPr>
            <w:tcW w:w="7260" w:type="dxa"/>
            <w:noWrap w:val="0"/>
            <w:vAlign w:val="center"/>
          </w:tcPr>
          <w:p w14:paraId="10FD575F">
            <w:pPr>
              <w:jc w:val="both"/>
              <w:rPr>
                <w:rFonts w:hint="eastAsia" w:ascii="仿宋_GB2312" w:hAnsi="仿宋_GB2312" w:eastAsia="仿宋_GB2312" w:cs="仿宋_GB2312"/>
              </w:rPr>
            </w:pPr>
            <w:r>
              <w:rPr>
                <w:rFonts w:hint="eastAsia" w:ascii="仿宋_GB2312" w:hAnsi="仿宋_GB2312" w:eastAsia="仿宋_GB2312" w:cs="仿宋_GB2312"/>
              </w:rPr>
              <w:t>【行政法规】《企业投资项目核准和备案管理条例》（2016年12月14日国务院令第673号）第十八条第一款 实行核准管理的项目，企业未依照本条例规定办理核准手续开工建设或者未按照核准的建设地点、建设规模，建设内容等进行建设的，由核准机关责令停止建设或者责令停产，对企业处项目总投资额1‰以上5‰以下的罚</w:t>
            </w:r>
          </w:p>
          <w:p w14:paraId="4C3C92B4">
            <w:pPr>
              <w:jc w:val="both"/>
              <w:rPr>
                <w:rFonts w:hint="eastAsia" w:ascii="仿宋_GB2312" w:hAnsi="仿宋_GB2312" w:eastAsia="仿宋_GB2312" w:cs="仿宋_GB2312"/>
              </w:rPr>
            </w:pPr>
            <w:r>
              <w:rPr>
                <w:rFonts w:hint="eastAsia" w:ascii="仿宋_GB2312" w:hAnsi="仿宋_GB2312" w:eastAsia="仿宋_GB2312" w:cs="仿宋_GB2312"/>
              </w:rPr>
              <w:t>款；对直接负责的主管人员和其他直接责任人员处2万元以上5万元以下的罚款，属于国家工作人员的、依法给予处分．</w:t>
            </w:r>
          </w:p>
          <w:p w14:paraId="20206AB5">
            <w:pPr>
              <w:jc w:val="both"/>
              <w:rPr>
                <w:rFonts w:hint="eastAsia" w:ascii="仿宋_GB2312" w:hAnsi="仿宋_GB2312" w:eastAsia="仿宋_GB2312" w:cs="仿宋_GB2312"/>
              </w:rPr>
            </w:pPr>
            <w:r>
              <w:rPr>
                <w:rFonts w:hint="eastAsia" w:ascii="仿宋_GB2312" w:hAnsi="仿宋_GB2312" w:eastAsia="仿宋_GB2312" w:cs="仿宋_GB2312"/>
              </w:rPr>
              <w:t>【规章】《企业投资项目核准和备案管理办法》（2017年3月8日国家发展改革委令第2号）第五十六条第一款 实行核准管理的项目，企业未依法办理核准手续开工建设或者未按照核准的建设地点、建设规模、</w:t>
            </w:r>
          </w:p>
          <w:p w14:paraId="5DD5822A">
            <w:pPr>
              <w:jc w:val="both"/>
              <w:rPr>
                <w:rFonts w:hint="eastAsia" w:ascii="仿宋_GB2312" w:hAnsi="仿宋_GB2312" w:eastAsia="仿宋_GB2312" w:cs="仿宋_GB2312"/>
              </w:rPr>
            </w:pPr>
            <w:r>
              <w:rPr>
                <w:rFonts w:hint="eastAsia" w:ascii="仿宋_GB2312" w:hAnsi="仿宋_GB2312" w:eastAsia="仿宋_GB2312" w:cs="仿宋_GB2312"/>
              </w:rPr>
              <w:t>建设内容等进行建设的，由核准机关责令停止建设或者责令停产，对企业处项目总投资额1‰以上5‰以下的罚款；对直接负责的主管人员和其他直接责任人员处2万元以上5万元以下的罚款，属于国家工作人员的，依法给予处分，项目应视情</w:t>
            </w:r>
          </w:p>
          <w:p w14:paraId="1FB97B1D">
            <w:pPr>
              <w:jc w:val="both"/>
              <w:rPr>
                <w:rFonts w:hint="eastAsia" w:ascii="仿宋_GB2312" w:hAnsi="仿宋_GB2312" w:eastAsia="仿宋_GB2312" w:cs="仿宋_GB2312"/>
              </w:rPr>
            </w:pPr>
            <w:r>
              <w:rPr>
                <w:rFonts w:hint="eastAsia" w:ascii="仿宋_GB2312" w:hAnsi="仿宋_GB2312" w:eastAsia="仿宋_GB2312" w:cs="仿宋_GB2312"/>
              </w:rPr>
              <w:t>况予以拆除或者补办相关手续.</w:t>
            </w:r>
          </w:p>
        </w:tc>
        <w:tc>
          <w:tcPr>
            <w:tcW w:w="1200" w:type="dxa"/>
            <w:noWrap w:val="0"/>
            <w:vAlign w:val="center"/>
          </w:tcPr>
          <w:p w14:paraId="4F3C41CE">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.县级项</w:t>
            </w:r>
          </w:p>
          <w:p w14:paraId="2DE66A75">
            <w:pPr>
              <w:jc w:val="both"/>
              <w:rPr>
                <w:rFonts w:hint="eastAsia" w:ascii="仿宋_GB2312" w:hAnsi="仿宋_GB2312" w:eastAsia="仿宋_GB2312" w:cs="仿宋_GB2312"/>
              </w:rPr>
            </w:pPr>
            <w:r>
              <w:rPr>
                <w:rFonts w:hint="eastAsia" w:ascii="仿宋_GB2312" w:hAnsi="仿宋_GB2312" w:eastAsia="仿宋_GB2312" w:cs="仿宋_GB2312"/>
              </w:rPr>
              <w:t>目核</w:t>
            </w:r>
            <w:r>
              <w:rPr>
                <w:rFonts w:hint="eastAsia" w:ascii="仿宋_GB2312" w:hAnsi="仿宋_GB2312" w:eastAsia="仿宋_GB2312" w:cs="仿宋_GB2312"/>
                <w:lang w:eastAsia="zh-CN"/>
              </w:rPr>
              <w:t>准</w:t>
            </w:r>
            <w:r>
              <w:rPr>
                <w:rFonts w:hint="eastAsia" w:ascii="仿宋_GB2312" w:hAnsi="仿宋_GB2312" w:eastAsia="仿宋_GB2312" w:cs="仿宋_GB2312"/>
              </w:rPr>
              <w:t>机关</w:t>
            </w:r>
          </w:p>
        </w:tc>
      </w:tr>
      <w:tr w14:paraId="6EC632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898" w:hRule="atLeast"/>
        </w:trPr>
        <w:tc>
          <w:tcPr>
            <w:tcW w:w="540" w:type="dxa"/>
            <w:noWrap w:val="0"/>
            <w:vAlign w:val="center"/>
          </w:tcPr>
          <w:p w14:paraId="41908532">
            <w:pPr>
              <w:jc w:val="center"/>
              <w:rPr>
                <w:rFonts w:hint="eastAsia" w:ascii="仿宋_GB2312" w:hAnsi="仿宋_GB2312" w:eastAsia="仿宋_GB2312" w:cs="仿宋_GB2312"/>
              </w:rPr>
            </w:pPr>
            <w:r>
              <w:rPr>
                <w:rFonts w:hint="eastAsia" w:ascii="仿宋_GB2312" w:hAnsi="仿宋_GB2312" w:eastAsia="仿宋_GB2312" w:cs="仿宋_GB2312"/>
              </w:rPr>
              <w:t>5</w:t>
            </w:r>
          </w:p>
        </w:tc>
        <w:tc>
          <w:tcPr>
            <w:tcW w:w="940" w:type="dxa"/>
            <w:noWrap w:val="0"/>
            <w:vAlign w:val="center"/>
          </w:tcPr>
          <w:p w14:paraId="340F2033">
            <w:pPr>
              <w:jc w:val="both"/>
              <w:rPr>
                <w:rFonts w:hint="eastAsia" w:ascii="仿宋_GB2312" w:hAnsi="仿宋_GB2312" w:eastAsia="仿宋_GB2312" w:cs="仿宋_GB2312"/>
              </w:rPr>
            </w:pPr>
            <w:r>
              <w:rPr>
                <w:rFonts w:hint="eastAsia" w:ascii="仿宋_GB2312" w:hAnsi="仿宋_GB2312" w:eastAsia="仿宋_GB2312" w:cs="仿宋_GB2312"/>
              </w:rPr>
              <w:t>企业投资</w:t>
            </w:r>
          </w:p>
          <w:p w14:paraId="2D151DD0">
            <w:pPr>
              <w:jc w:val="both"/>
              <w:rPr>
                <w:rFonts w:hint="eastAsia" w:ascii="仿宋_GB2312" w:hAnsi="仿宋_GB2312" w:eastAsia="仿宋_GB2312" w:cs="仿宋_GB2312"/>
              </w:rPr>
            </w:pPr>
            <w:r>
              <w:rPr>
                <w:rFonts w:hint="eastAsia" w:ascii="仿宋_GB2312" w:hAnsi="仿宋_GB2312" w:eastAsia="仿宋_GB2312" w:cs="仿宋_GB2312"/>
              </w:rPr>
              <w:t>项目</w:t>
            </w:r>
          </w:p>
        </w:tc>
        <w:tc>
          <w:tcPr>
            <w:tcW w:w="1300" w:type="dxa"/>
            <w:noWrap w:val="0"/>
            <w:vAlign w:val="center"/>
          </w:tcPr>
          <w:p w14:paraId="6C75DAEC">
            <w:pPr>
              <w:jc w:val="both"/>
              <w:rPr>
                <w:rFonts w:hint="eastAsia" w:ascii="仿宋_GB2312" w:hAnsi="仿宋_GB2312" w:eastAsia="仿宋_GB2312" w:cs="仿宋_GB2312"/>
              </w:rPr>
            </w:pPr>
            <w:r>
              <w:rPr>
                <w:rFonts w:hint="eastAsia" w:ascii="仿宋_GB2312" w:hAnsi="仿宋_GB2312" w:eastAsia="仿宋_GB2312" w:cs="仿宋_GB2312"/>
              </w:rPr>
              <w:t>对以欺骗、贿赂等不正当手段取得项目核</w:t>
            </w:r>
          </w:p>
          <w:p w14:paraId="4F0C63B2">
            <w:pPr>
              <w:jc w:val="both"/>
              <w:rPr>
                <w:rFonts w:hint="eastAsia" w:ascii="仿宋_GB2312" w:hAnsi="仿宋_GB2312" w:eastAsia="仿宋_GB2312" w:cs="仿宋_GB2312"/>
              </w:rPr>
            </w:pPr>
            <w:r>
              <w:rPr>
                <w:rFonts w:hint="eastAsia" w:ascii="仿宋_GB2312" w:hAnsi="仿宋_GB2312" w:eastAsia="仿宋_GB2312" w:cs="仿宋_GB2312"/>
              </w:rPr>
              <w:t>准文件行为的处罚</w:t>
            </w:r>
          </w:p>
        </w:tc>
        <w:tc>
          <w:tcPr>
            <w:tcW w:w="2640" w:type="dxa"/>
            <w:noWrap w:val="0"/>
            <w:vAlign w:val="center"/>
          </w:tcPr>
          <w:p w14:paraId="1DCEC281">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2EBE08EF">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292B08EC">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73DF49ED">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34C21F9D">
            <w:pPr>
              <w:jc w:val="both"/>
              <w:rPr>
                <w:rFonts w:hint="eastAsia" w:ascii="仿宋_GB2312" w:hAnsi="仿宋_GB2312" w:eastAsia="仿宋_GB2312" w:cs="仿宋_GB2312"/>
              </w:rPr>
            </w:pPr>
            <w:r>
              <w:rPr>
                <w:rFonts w:hint="eastAsia" w:ascii="仿宋_GB2312" w:hAnsi="仿宋_GB2312" w:eastAsia="仿宋_GB2312" w:cs="仿宋_GB2312"/>
                <w:sz w:val="21"/>
                <w:szCs w:val="21"/>
              </w:rPr>
              <w:t>定其他应当从轻或者减轻行政处罚的.</w:t>
            </w:r>
          </w:p>
        </w:tc>
        <w:tc>
          <w:tcPr>
            <w:tcW w:w="1200" w:type="dxa"/>
            <w:noWrap w:val="0"/>
            <w:vAlign w:val="center"/>
          </w:tcPr>
          <w:p w14:paraId="66FC3624">
            <w:pPr>
              <w:jc w:val="both"/>
              <w:rPr>
                <w:rFonts w:hint="eastAsia" w:ascii="仿宋_GB2312" w:hAnsi="仿宋_GB2312" w:eastAsia="仿宋_GB2312" w:cs="仿宋_GB2312"/>
              </w:rPr>
            </w:pPr>
            <w:r>
              <w:rPr>
                <w:rFonts w:hint="eastAsia" w:ascii="仿宋_GB2312" w:hAnsi="仿宋_GB2312" w:eastAsia="仿宋_GB2312" w:cs="仿宋_GB2312"/>
              </w:rPr>
              <w:t>撤销核准文</w:t>
            </w:r>
          </w:p>
          <w:p w14:paraId="74D9EF94">
            <w:pPr>
              <w:jc w:val="both"/>
              <w:rPr>
                <w:rFonts w:hint="eastAsia" w:ascii="仿宋_GB2312" w:hAnsi="仿宋_GB2312" w:eastAsia="仿宋_GB2312" w:cs="仿宋_GB2312"/>
              </w:rPr>
            </w:pPr>
            <w:r>
              <w:rPr>
                <w:rFonts w:hint="eastAsia" w:ascii="仿宋_GB2312" w:hAnsi="仿宋_GB2312" w:eastAsia="仿宋_GB2312" w:cs="仿宋_GB2312"/>
              </w:rPr>
              <w:t>件，处项目总投资额1‰-2‰</w:t>
            </w:r>
          </w:p>
          <w:p w14:paraId="04CA2144">
            <w:pPr>
              <w:jc w:val="both"/>
              <w:rPr>
                <w:rFonts w:hint="eastAsia" w:ascii="仿宋_GB2312" w:hAnsi="仿宋_GB2312" w:eastAsia="仿宋_GB2312" w:cs="仿宋_GB2312"/>
              </w:rPr>
            </w:pPr>
            <w:r>
              <w:rPr>
                <w:rFonts w:hint="eastAsia" w:ascii="仿宋_GB2312" w:hAnsi="仿宋_GB2312" w:eastAsia="仿宋_GB2312" w:cs="仿宋_GB2312"/>
              </w:rPr>
              <w:t>罚款.</w:t>
            </w:r>
          </w:p>
        </w:tc>
        <w:tc>
          <w:tcPr>
            <w:tcW w:w="7260" w:type="dxa"/>
            <w:noWrap w:val="0"/>
            <w:vAlign w:val="center"/>
          </w:tcPr>
          <w:p w14:paraId="516F62DA">
            <w:pPr>
              <w:jc w:val="both"/>
              <w:rPr>
                <w:rFonts w:hint="eastAsia" w:ascii="仿宋_GB2312" w:hAnsi="仿宋_GB2312" w:eastAsia="仿宋_GB2312" w:cs="仿宋_GB2312"/>
              </w:rPr>
            </w:pPr>
            <w:r>
              <w:rPr>
                <w:rFonts w:hint="eastAsia" w:ascii="仿宋_GB2312" w:hAnsi="仿宋_GB2312" w:eastAsia="仿宋_GB2312" w:cs="仿宋_GB2312"/>
              </w:rPr>
              <w:t>【行政法规】《企业投资项目核准和备案管理条例》（2016年12月14日国务院令第673号）第十八条第二款 以欺骗、贿赂等不正当手段取得项目核准文件，尚未开工建设的，由核准机关撤销核准文件，处项目总投资额1‰以上5‰以下的罚款；已经开工建设的，依照前款规定予以处罚；构成犯罪的，依法追究刑事责任。</w:t>
            </w:r>
          </w:p>
          <w:p w14:paraId="4D819B67">
            <w:pPr>
              <w:jc w:val="both"/>
              <w:rPr>
                <w:rFonts w:hint="eastAsia" w:ascii="仿宋_GB2312" w:hAnsi="仿宋_GB2312" w:eastAsia="仿宋_GB2312" w:cs="仿宋_GB2312"/>
              </w:rPr>
            </w:pPr>
            <w:r>
              <w:rPr>
                <w:rFonts w:hint="eastAsia" w:ascii="仿宋_GB2312" w:hAnsi="仿宋_GB2312" w:eastAsia="仿宋_GB2312" w:cs="仿宋_GB2312"/>
              </w:rPr>
              <w:t>【规章】《企业投资项目核准和备案管理办法》（2017年3月8日国家发展改革委令第2号）第五十六条第二款 以欺骗，贿赂等不正当手段取得项目核准文件，尚未开工建设的，由核准机关撤销核准文件，处项</w:t>
            </w:r>
          </w:p>
          <w:p w14:paraId="6B05971B">
            <w:pPr>
              <w:jc w:val="both"/>
              <w:rPr>
                <w:rFonts w:hint="eastAsia" w:ascii="仿宋_GB2312" w:hAnsi="仿宋_GB2312" w:eastAsia="仿宋_GB2312" w:cs="仿宋_GB2312"/>
              </w:rPr>
            </w:pPr>
            <w:r>
              <w:rPr>
                <w:rFonts w:hint="eastAsia" w:ascii="仿宋_GB2312" w:hAnsi="仿宋_GB2312" w:eastAsia="仿宋_GB2312" w:cs="仿宋_GB2312"/>
              </w:rPr>
              <w:t>目总投资额1‰以上5‰以下的罚款；已经开工建设的，依照前款规定</w:t>
            </w:r>
            <w:r>
              <w:rPr>
                <w:rFonts w:hint="eastAsia" w:ascii="仿宋_GB2312" w:hAnsi="仿宋_GB2312" w:eastAsia="仿宋_GB2312" w:cs="仿宋_GB2312"/>
                <w:lang w:val="en-US" w:eastAsia="zh-CN"/>
              </w:rPr>
              <w:t>予</w:t>
            </w:r>
            <w:r>
              <w:rPr>
                <w:rFonts w:hint="eastAsia" w:ascii="仿宋_GB2312" w:hAnsi="仿宋_GB2312" w:eastAsia="仿宋_GB2312" w:cs="仿宋_GB2312"/>
              </w:rPr>
              <w:t>以处罚：构成犯罪的，依法追究刑事责任。</w:t>
            </w:r>
            <w:bookmarkStart w:id="0" w:name="_GoBack"/>
            <w:bookmarkEnd w:id="0"/>
          </w:p>
        </w:tc>
        <w:tc>
          <w:tcPr>
            <w:tcW w:w="1200" w:type="dxa"/>
            <w:noWrap w:val="0"/>
            <w:vAlign w:val="center"/>
          </w:tcPr>
          <w:p w14:paraId="1733685F">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.县级项</w:t>
            </w:r>
          </w:p>
          <w:p w14:paraId="5B634827">
            <w:pPr>
              <w:jc w:val="both"/>
              <w:rPr>
                <w:rFonts w:hint="eastAsia" w:ascii="仿宋_GB2312" w:hAnsi="仿宋_GB2312" w:eastAsia="仿宋_GB2312" w:cs="仿宋_GB2312"/>
              </w:rPr>
            </w:pPr>
            <w:r>
              <w:rPr>
                <w:rFonts w:hint="eastAsia" w:ascii="仿宋_GB2312" w:hAnsi="仿宋_GB2312" w:eastAsia="仿宋_GB2312" w:cs="仿宋_GB2312"/>
              </w:rPr>
              <w:t>目核</w:t>
            </w:r>
            <w:r>
              <w:rPr>
                <w:rFonts w:hint="eastAsia" w:ascii="仿宋_GB2312" w:hAnsi="仿宋_GB2312" w:eastAsia="仿宋_GB2312" w:cs="仿宋_GB2312"/>
                <w:lang w:eastAsia="zh-CN"/>
              </w:rPr>
              <w:t>准</w:t>
            </w:r>
            <w:r>
              <w:rPr>
                <w:rFonts w:hint="eastAsia" w:ascii="仿宋_GB2312" w:hAnsi="仿宋_GB2312" w:eastAsia="仿宋_GB2312" w:cs="仿宋_GB2312"/>
              </w:rPr>
              <w:t>机关</w:t>
            </w:r>
          </w:p>
        </w:tc>
      </w:tr>
      <w:tr w14:paraId="5E57E1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409" w:hRule="atLeast"/>
        </w:trPr>
        <w:tc>
          <w:tcPr>
            <w:tcW w:w="540" w:type="dxa"/>
            <w:noWrap w:val="0"/>
            <w:vAlign w:val="center"/>
          </w:tcPr>
          <w:p w14:paraId="09C0DF3C">
            <w:pPr>
              <w:jc w:val="center"/>
              <w:rPr>
                <w:rFonts w:hint="eastAsia" w:ascii="仿宋_GB2312" w:hAnsi="仿宋_GB2312" w:eastAsia="仿宋_GB2312" w:cs="仿宋_GB2312"/>
              </w:rPr>
            </w:pPr>
            <w:r>
              <w:rPr>
                <w:rFonts w:hint="eastAsia" w:ascii="仿宋_GB2312" w:hAnsi="仿宋_GB2312" w:eastAsia="仿宋_GB2312" w:cs="仿宋_GB2312"/>
              </w:rPr>
              <w:t>6</w:t>
            </w:r>
          </w:p>
        </w:tc>
        <w:tc>
          <w:tcPr>
            <w:tcW w:w="940" w:type="dxa"/>
            <w:noWrap w:val="0"/>
            <w:vAlign w:val="center"/>
          </w:tcPr>
          <w:p w14:paraId="190B2B15">
            <w:pPr>
              <w:jc w:val="both"/>
              <w:rPr>
                <w:rFonts w:hint="eastAsia" w:ascii="仿宋_GB2312" w:hAnsi="仿宋_GB2312" w:eastAsia="仿宋_GB2312" w:cs="仿宋_GB2312"/>
              </w:rPr>
            </w:pPr>
            <w:r>
              <w:rPr>
                <w:rFonts w:hint="eastAsia" w:ascii="仿宋_GB2312" w:hAnsi="仿宋_GB2312" w:eastAsia="仿宋_GB2312" w:cs="仿宋_GB2312"/>
              </w:rPr>
              <w:t>企业投资</w:t>
            </w:r>
          </w:p>
          <w:p w14:paraId="2686D9FC">
            <w:pPr>
              <w:jc w:val="both"/>
              <w:rPr>
                <w:rFonts w:hint="eastAsia" w:ascii="仿宋_GB2312" w:hAnsi="仿宋_GB2312" w:eastAsia="仿宋_GB2312" w:cs="仿宋_GB2312"/>
              </w:rPr>
            </w:pPr>
            <w:r>
              <w:rPr>
                <w:rFonts w:hint="eastAsia" w:ascii="仿宋_GB2312" w:hAnsi="仿宋_GB2312" w:eastAsia="仿宋_GB2312" w:cs="仿宋_GB2312"/>
              </w:rPr>
              <w:t>项目</w:t>
            </w:r>
          </w:p>
        </w:tc>
        <w:tc>
          <w:tcPr>
            <w:tcW w:w="1300" w:type="dxa"/>
            <w:noWrap w:val="0"/>
            <w:vAlign w:val="center"/>
          </w:tcPr>
          <w:p w14:paraId="63F02AF3">
            <w:pPr>
              <w:jc w:val="both"/>
              <w:rPr>
                <w:rFonts w:hint="eastAsia" w:ascii="仿宋_GB2312" w:hAnsi="仿宋_GB2312" w:eastAsia="仿宋_GB2312" w:cs="仿宋_GB2312"/>
              </w:rPr>
            </w:pPr>
            <w:r>
              <w:rPr>
                <w:rFonts w:hint="eastAsia" w:ascii="仿宋_GB2312" w:hAnsi="仿宋_GB2312" w:eastAsia="仿宋_GB2312" w:cs="仿宋_GB2312"/>
              </w:rPr>
              <w:t>对未依法备案项目信息且经责令逾期不改</w:t>
            </w:r>
          </w:p>
          <w:p w14:paraId="23E747BF">
            <w:pPr>
              <w:jc w:val="both"/>
              <w:rPr>
                <w:rFonts w:hint="eastAsia" w:ascii="仿宋_GB2312" w:hAnsi="仿宋_GB2312" w:eastAsia="仿宋_GB2312" w:cs="仿宋_GB2312"/>
              </w:rPr>
            </w:pPr>
            <w:r>
              <w:rPr>
                <w:rFonts w:hint="eastAsia" w:ascii="仿宋_GB2312" w:hAnsi="仿宋_GB2312" w:eastAsia="仿宋_GB2312" w:cs="仿宋_GB2312"/>
              </w:rPr>
              <w:t>正行为的处罚</w:t>
            </w:r>
          </w:p>
        </w:tc>
        <w:tc>
          <w:tcPr>
            <w:tcW w:w="2640" w:type="dxa"/>
            <w:noWrap w:val="0"/>
            <w:vAlign w:val="center"/>
          </w:tcPr>
          <w:p w14:paraId="75C4364E">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585167AC">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77E28A89">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52D9B938">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5B1361C4">
            <w:pPr>
              <w:jc w:val="both"/>
              <w:rPr>
                <w:rFonts w:hint="eastAsia" w:ascii="仿宋_GB2312" w:hAnsi="仿宋_GB2312" w:eastAsia="仿宋_GB2312" w:cs="仿宋_GB2312"/>
              </w:rPr>
            </w:pPr>
            <w:r>
              <w:rPr>
                <w:rFonts w:hint="eastAsia" w:ascii="仿宋_GB2312" w:hAnsi="仿宋_GB2312" w:eastAsia="仿宋_GB2312" w:cs="仿宋_GB2312"/>
                <w:sz w:val="21"/>
                <w:szCs w:val="21"/>
              </w:rPr>
              <w:t>定其他应当从轻或者减轻行政处罚的.</w:t>
            </w:r>
          </w:p>
        </w:tc>
        <w:tc>
          <w:tcPr>
            <w:tcW w:w="1200" w:type="dxa"/>
            <w:noWrap w:val="0"/>
            <w:vAlign w:val="center"/>
          </w:tcPr>
          <w:p w14:paraId="6B2FF5F3">
            <w:pPr>
              <w:jc w:val="both"/>
              <w:rPr>
                <w:rFonts w:hint="eastAsia" w:ascii="仿宋_GB2312" w:hAnsi="仿宋_GB2312" w:eastAsia="仿宋_GB2312" w:cs="仿宋_GB2312"/>
              </w:rPr>
            </w:pPr>
            <w:r>
              <w:rPr>
                <w:rFonts w:hint="eastAsia" w:ascii="仿宋_GB2312" w:hAnsi="仿宋_GB2312" w:eastAsia="仿宋_GB2312" w:cs="仿宋_GB2312"/>
              </w:rPr>
              <w:t>处2-3万元罚款.</w:t>
            </w:r>
          </w:p>
        </w:tc>
        <w:tc>
          <w:tcPr>
            <w:tcW w:w="7260" w:type="dxa"/>
            <w:noWrap w:val="0"/>
            <w:vAlign w:val="center"/>
          </w:tcPr>
          <w:p w14:paraId="1691071C">
            <w:pPr>
              <w:jc w:val="both"/>
              <w:rPr>
                <w:rFonts w:hint="eastAsia" w:ascii="仿宋_GB2312" w:hAnsi="仿宋_GB2312" w:eastAsia="仿宋_GB2312" w:cs="仿宋_GB2312"/>
              </w:rPr>
            </w:pPr>
            <w:r>
              <w:rPr>
                <w:rFonts w:hint="eastAsia" w:ascii="仿宋_GB2312" w:hAnsi="仿宋_GB2312" w:eastAsia="仿宋_GB2312" w:cs="仿宋_GB2312"/>
              </w:rPr>
              <w:t>【行政法规】《企业投资项目核准和备案管理条例》（2016年12月14日国务院令第673号）第十九条 实行备案管理的项目，企业未依照本条例规定将项目信息或者已备案项目的信息变更情况告知备案机关，或者向备案机关提供虚假信息的，由备案机关责令限期改正；逾期不改正的，处2万元以上5万元以下的罚款．</w:t>
            </w:r>
          </w:p>
          <w:p w14:paraId="2768C099">
            <w:pPr>
              <w:jc w:val="both"/>
              <w:rPr>
                <w:rFonts w:hint="eastAsia" w:ascii="仿宋_GB2312" w:hAnsi="仿宋_GB2312" w:eastAsia="仿宋_GB2312" w:cs="仿宋_GB2312"/>
              </w:rPr>
            </w:pPr>
            <w:r>
              <w:rPr>
                <w:rFonts w:hint="eastAsia" w:ascii="仿宋_GB2312" w:hAnsi="仿宋_GB2312" w:eastAsia="仿宋_GB2312" w:cs="仿宋_GB2312"/>
              </w:rPr>
              <w:t>【规章】《企业投资项目核准和备案管理办法》（2017年3月8日国家发展改革委令第2号）第五十七条 实行备案管理的项目，企业未依法将项目信息或者已备案项目信息变更情况告知备案机关，或者向备案机</w:t>
            </w:r>
          </w:p>
          <w:p w14:paraId="0D399114">
            <w:pPr>
              <w:jc w:val="both"/>
              <w:rPr>
                <w:rFonts w:hint="eastAsia" w:ascii="仿宋_GB2312" w:hAnsi="仿宋_GB2312" w:eastAsia="仿宋_GB2312" w:cs="仿宋_GB2312"/>
              </w:rPr>
            </w:pPr>
            <w:r>
              <w:rPr>
                <w:rFonts w:hint="eastAsia" w:ascii="仿宋_GB2312" w:hAnsi="仿宋_GB2312" w:eastAsia="仿宋_GB2312" w:cs="仿宋_GB2312"/>
              </w:rPr>
              <w:t>关提供虚假信息的，由备案机关责令限期改正；逾期不改正的，处2万元以上5万元以下的罚款．</w:t>
            </w:r>
          </w:p>
        </w:tc>
        <w:tc>
          <w:tcPr>
            <w:tcW w:w="1200" w:type="dxa"/>
            <w:noWrap w:val="0"/>
            <w:vAlign w:val="center"/>
          </w:tcPr>
          <w:p w14:paraId="276E07F4">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.县级项</w:t>
            </w:r>
          </w:p>
          <w:p w14:paraId="7F029939">
            <w:pPr>
              <w:jc w:val="both"/>
              <w:rPr>
                <w:rFonts w:hint="eastAsia" w:ascii="仿宋_GB2312" w:hAnsi="仿宋_GB2312" w:eastAsia="仿宋_GB2312" w:cs="仿宋_GB2312"/>
              </w:rPr>
            </w:pPr>
            <w:r>
              <w:rPr>
                <w:rFonts w:hint="eastAsia" w:ascii="仿宋_GB2312" w:hAnsi="仿宋_GB2312" w:eastAsia="仿宋_GB2312" w:cs="仿宋_GB2312"/>
              </w:rPr>
              <w:t>目备案机关</w:t>
            </w:r>
          </w:p>
        </w:tc>
      </w:tr>
      <w:tr w14:paraId="1E8793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5251" w:hRule="atLeast"/>
        </w:trPr>
        <w:tc>
          <w:tcPr>
            <w:tcW w:w="540" w:type="dxa"/>
            <w:noWrap w:val="0"/>
            <w:vAlign w:val="center"/>
          </w:tcPr>
          <w:p w14:paraId="6A26A678">
            <w:pPr>
              <w:jc w:val="center"/>
              <w:rPr>
                <w:rFonts w:hint="eastAsia" w:ascii="仿宋_GB2312" w:hAnsi="仿宋_GB2312" w:eastAsia="仿宋_GB2312" w:cs="仿宋_GB2312"/>
                <w:sz w:val="21"/>
                <w:szCs w:val="22"/>
              </w:rPr>
            </w:pPr>
            <w:r>
              <w:rPr>
                <w:rFonts w:hint="eastAsia" w:ascii="仿宋_GB2312" w:hAnsi="仿宋_GB2312" w:eastAsia="仿宋_GB2312" w:cs="仿宋_GB2312"/>
              </w:rPr>
              <w:t>7</w:t>
            </w:r>
          </w:p>
        </w:tc>
        <w:tc>
          <w:tcPr>
            <w:tcW w:w="940" w:type="dxa"/>
            <w:noWrap w:val="0"/>
            <w:vAlign w:val="center"/>
          </w:tcPr>
          <w:p w14:paraId="5B3F24AB">
            <w:pPr>
              <w:jc w:val="both"/>
              <w:rPr>
                <w:rFonts w:hint="eastAsia" w:ascii="仿宋_GB2312" w:hAnsi="仿宋_GB2312" w:eastAsia="仿宋_GB2312" w:cs="仿宋_GB2312"/>
              </w:rPr>
            </w:pPr>
            <w:r>
              <w:rPr>
                <w:rFonts w:hint="eastAsia" w:ascii="仿宋_GB2312" w:hAnsi="仿宋_GB2312" w:eastAsia="仿宋_GB2312" w:cs="仿宋_GB2312"/>
              </w:rPr>
              <w:t>企业投资</w:t>
            </w:r>
          </w:p>
          <w:p w14:paraId="3B0A2581">
            <w:pPr>
              <w:jc w:val="both"/>
              <w:rPr>
                <w:rFonts w:hint="eastAsia" w:ascii="仿宋_GB2312" w:hAnsi="仿宋_GB2312" w:eastAsia="仿宋_GB2312" w:cs="仿宋_GB2312"/>
                <w:sz w:val="21"/>
                <w:szCs w:val="22"/>
              </w:rPr>
            </w:pPr>
            <w:r>
              <w:rPr>
                <w:rFonts w:hint="eastAsia" w:ascii="仿宋_GB2312" w:hAnsi="仿宋_GB2312" w:eastAsia="仿宋_GB2312" w:cs="仿宋_GB2312"/>
              </w:rPr>
              <w:t>项目</w:t>
            </w:r>
          </w:p>
        </w:tc>
        <w:tc>
          <w:tcPr>
            <w:tcW w:w="1300" w:type="dxa"/>
            <w:noWrap w:val="0"/>
            <w:vAlign w:val="center"/>
          </w:tcPr>
          <w:p w14:paraId="4B3C2AB0">
            <w:pPr>
              <w:jc w:val="both"/>
              <w:rPr>
                <w:rFonts w:hint="eastAsia" w:ascii="仿宋_GB2312" w:hAnsi="仿宋_GB2312" w:eastAsia="仿宋_GB2312" w:cs="仿宋_GB2312"/>
              </w:rPr>
            </w:pPr>
            <w:r>
              <w:rPr>
                <w:rFonts w:hint="eastAsia" w:ascii="仿宋_GB2312" w:hAnsi="仿宋_GB2312" w:eastAsia="仿宋_GB2312" w:cs="仿宋_GB2312"/>
              </w:rPr>
              <w:t>对投资建设产业政策禁止投资建设项目行</w:t>
            </w:r>
          </w:p>
          <w:p w14:paraId="4070848F">
            <w:pPr>
              <w:jc w:val="both"/>
              <w:rPr>
                <w:rFonts w:hint="eastAsia" w:ascii="仿宋_GB2312" w:hAnsi="仿宋_GB2312" w:eastAsia="仿宋_GB2312" w:cs="仿宋_GB2312"/>
                <w:sz w:val="21"/>
                <w:szCs w:val="22"/>
              </w:rPr>
            </w:pPr>
            <w:r>
              <w:rPr>
                <w:rFonts w:hint="eastAsia" w:ascii="仿宋_GB2312" w:hAnsi="仿宋_GB2312" w:eastAsia="仿宋_GB2312" w:cs="仿宋_GB2312"/>
              </w:rPr>
              <w:t>为的处罚</w:t>
            </w:r>
          </w:p>
        </w:tc>
        <w:tc>
          <w:tcPr>
            <w:tcW w:w="2640" w:type="dxa"/>
            <w:noWrap w:val="0"/>
            <w:vAlign w:val="center"/>
          </w:tcPr>
          <w:p w14:paraId="5BEF0E94">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639A015B">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688C5002">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3A3AE720">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39CD12F0">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定其他应当从轻或者减轻行政处罚的.</w:t>
            </w:r>
          </w:p>
        </w:tc>
        <w:tc>
          <w:tcPr>
            <w:tcW w:w="1200" w:type="dxa"/>
            <w:noWrap w:val="0"/>
            <w:vAlign w:val="center"/>
          </w:tcPr>
          <w:p w14:paraId="358FA032">
            <w:pPr>
              <w:jc w:val="both"/>
              <w:rPr>
                <w:rFonts w:hint="eastAsia" w:ascii="仿宋_GB2312" w:hAnsi="仿宋_GB2312" w:eastAsia="仿宋_GB2312" w:cs="仿宋_GB2312"/>
              </w:rPr>
            </w:pPr>
            <w:r>
              <w:rPr>
                <w:rFonts w:hint="eastAsia" w:ascii="仿宋_GB2312" w:hAnsi="仿宋_GB2312" w:eastAsia="仿宋_GB2312" w:cs="仿宋_GB2312"/>
              </w:rPr>
              <w:t>责令停止建设或者责令停产并恢复原状，对企业处项目总投资额5‰-6‰罚款，对直接负责的主管人员和其他直接责</w:t>
            </w:r>
          </w:p>
          <w:p w14:paraId="6A27CC39">
            <w:pPr>
              <w:jc w:val="both"/>
              <w:rPr>
                <w:rFonts w:hint="eastAsia" w:ascii="仿宋_GB2312" w:hAnsi="仿宋_GB2312" w:eastAsia="仿宋_GB2312" w:cs="仿宋_GB2312"/>
              </w:rPr>
            </w:pPr>
            <w:r>
              <w:rPr>
                <w:rFonts w:hint="eastAsia" w:ascii="仿宋_GB2312" w:hAnsi="仿宋_GB2312" w:eastAsia="仿宋_GB2312" w:cs="仿宋_GB2312"/>
              </w:rPr>
              <w:t>任人员处5-6万元罚款.</w:t>
            </w:r>
          </w:p>
        </w:tc>
        <w:tc>
          <w:tcPr>
            <w:tcW w:w="7260" w:type="dxa"/>
            <w:noWrap w:val="0"/>
            <w:vAlign w:val="center"/>
          </w:tcPr>
          <w:p w14:paraId="39DDD18A">
            <w:pPr>
              <w:jc w:val="both"/>
              <w:rPr>
                <w:rFonts w:hint="eastAsia" w:ascii="仿宋_GB2312" w:hAnsi="仿宋_GB2312" w:eastAsia="仿宋_GB2312" w:cs="仿宋_GB2312"/>
              </w:rPr>
            </w:pPr>
            <w:r>
              <w:rPr>
                <w:rFonts w:hint="eastAsia" w:ascii="仿宋_GB2312" w:hAnsi="仿宋_GB2312" w:eastAsia="仿宋_GB2312" w:cs="仿宋_GB2312"/>
              </w:rPr>
              <w:t>【行政法规】《企业投资项目核准和备案管理条例》（2016年12月14日国务院令第673号）第二十条 企业投资建设产业政策禁止投资建设项目的，由县级以上人民政府投资主管部门责令停止建设或者责令停产并恢复原状，对企业处项目总投资额5‰以上10‰以下的罚款；对直接负责的主管人员和其他直接责任人员处5万元以上10万元以下的罚款，属于国家工作人员的，依法给予处分。法律、行政法规另有规定的，依照其规定。</w:t>
            </w:r>
          </w:p>
          <w:p w14:paraId="695E52D0">
            <w:pPr>
              <w:jc w:val="both"/>
              <w:rPr>
                <w:rFonts w:hint="eastAsia" w:ascii="仿宋_GB2312" w:hAnsi="仿宋_GB2312" w:eastAsia="仿宋_GB2312" w:cs="仿宋_GB2312"/>
              </w:rPr>
            </w:pPr>
            <w:r>
              <w:rPr>
                <w:rFonts w:hint="eastAsia" w:ascii="仿宋_GB2312" w:hAnsi="仿宋_GB2312" w:eastAsia="仿宋_GB2312" w:cs="仿宋_GB2312"/>
              </w:rPr>
              <w:t>【规章】《企业投资项目核准和备案管理办法》（2017年3月8日国家发展改革委令第2号）第五十八条 企业投资建设产业政策禁止投资建设项目的，由县级以上人民政府投资主管部门责令停止建设或者责令停产并恢复原状，对企业处项目总投资额5‰以上10‰以下的罚款；对直接负责的主管人员和其他直接责任人员处5万元以上</w:t>
            </w:r>
          </w:p>
          <w:p w14:paraId="4BA5D758">
            <w:pPr>
              <w:jc w:val="both"/>
              <w:rPr>
                <w:rFonts w:hint="eastAsia" w:ascii="仿宋_GB2312" w:hAnsi="仿宋_GB2312" w:eastAsia="仿宋_GB2312" w:cs="仿宋_GB2312"/>
              </w:rPr>
            </w:pPr>
            <w:r>
              <w:rPr>
                <w:rFonts w:hint="eastAsia" w:ascii="仿宋_GB2312" w:hAnsi="仿宋_GB2312" w:eastAsia="仿宋_GB2312" w:cs="仿宋_GB2312"/>
              </w:rPr>
              <w:t>10万元以下的罚款，属于国家工作人员的，依法给予处分，法律，行政法规另有规定的，依照其规定。</w:t>
            </w:r>
          </w:p>
        </w:tc>
        <w:tc>
          <w:tcPr>
            <w:tcW w:w="1200" w:type="dxa"/>
            <w:noWrap w:val="0"/>
            <w:vAlign w:val="center"/>
          </w:tcPr>
          <w:p w14:paraId="025BA7D7">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.县级投</w:t>
            </w:r>
          </w:p>
          <w:p w14:paraId="57C474EF">
            <w:pPr>
              <w:jc w:val="both"/>
              <w:rPr>
                <w:rFonts w:hint="eastAsia" w:ascii="仿宋_GB2312" w:hAnsi="仿宋_GB2312" w:eastAsia="仿宋_GB2312" w:cs="仿宋_GB2312"/>
              </w:rPr>
            </w:pPr>
            <w:r>
              <w:rPr>
                <w:rFonts w:hint="eastAsia" w:ascii="仿宋_GB2312" w:hAnsi="仿宋_GB2312" w:eastAsia="仿宋_GB2312" w:cs="仿宋_GB2312"/>
              </w:rPr>
              <w:t>资主管部门</w:t>
            </w:r>
          </w:p>
        </w:tc>
      </w:tr>
    </w:tbl>
    <w:p w14:paraId="349BD4C2">
      <w:pPr>
        <w:sectPr>
          <w:footerReference r:id="rId4" w:type="default"/>
          <w:pgSz w:w="16840" w:h="11900"/>
          <w:pgMar w:top="480" w:right="760" w:bottom="480" w:left="760" w:header="0" w:footer="480" w:gutter="0"/>
          <w:cols w:space="1701" w:num="1"/>
        </w:sectPr>
      </w:pPr>
    </w:p>
    <w:tbl>
      <w:tblPr>
        <w:tblStyle w:val="28"/>
        <w:tblW w:w="0" w:type="auto"/>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 w:type="dxa"/>
          <w:bottom w:w="0" w:type="dxa"/>
          <w:right w:w="10" w:type="dxa"/>
        </w:tblCellMar>
      </w:tblPr>
      <w:tblGrid>
        <w:gridCol w:w="540"/>
        <w:gridCol w:w="940"/>
        <w:gridCol w:w="1320"/>
        <w:gridCol w:w="2640"/>
        <w:gridCol w:w="1220"/>
        <w:gridCol w:w="7280"/>
        <w:gridCol w:w="1220"/>
      </w:tblGrid>
      <w:tr w14:paraId="6A0CFB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964" w:hRule="atLeast"/>
        </w:trPr>
        <w:tc>
          <w:tcPr>
            <w:tcW w:w="540" w:type="dxa"/>
            <w:noWrap w:val="0"/>
            <w:vAlign w:val="center"/>
          </w:tcPr>
          <w:p w14:paraId="253526BD">
            <w:pPr>
              <w:jc w:val="center"/>
              <w:rPr>
                <w:b/>
                <w:bCs/>
                <w:sz w:val="24"/>
                <w:szCs w:val="24"/>
              </w:rPr>
            </w:pPr>
            <w:r>
              <w:rPr>
                <w:rFonts w:hint="eastAsia"/>
                <w:b/>
                <w:bCs/>
                <w:sz w:val="24"/>
                <w:szCs w:val="24"/>
              </w:rPr>
              <w:t>序号</w:t>
            </w:r>
          </w:p>
        </w:tc>
        <w:tc>
          <w:tcPr>
            <w:tcW w:w="940" w:type="dxa"/>
            <w:noWrap w:val="0"/>
            <w:vAlign w:val="center"/>
          </w:tcPr>
          <w:p w14:paraId="25F29BBB">
            <w:pPr>
              <w:jc w:val="center"/>
              <w:rPr>
                <w:b/>
                <w:bCs/>
                <w:sz w:val="24"/>
                <w:szCs w:val="24"/>
              </w:rPr>
            </w:pPr>
            <w:r>
              <w:rPr>
                <w:rFonts w:hint="eastAsia"/>
                <w:b/>
                <w:bCs/>
                <w:sz w:val="24"/>
                <w:szCs w:val="24"/>
              </w:rPr>
              <w:t>管理领域</w:t>
            </w:r>
          </w:p>
        </w:tc>
        <w:tc>
          <w:tcPr>
            <w:tcW w:w="1320" w:type="dxa"/>
            <w:noWrap w:val="0"/>
            <w:vAlign w:val="center"/>
          </w:tcPr>
          <w:p w14:paraId="105E1998">
            <w:pPr>
              <w:jc w:val="center"/>
              <w:rPr>
                <w:b/>
                <w:bCs/>
                <w:sz w:val="24"/>
                <w:szCs w:val="24"/>
              </w:rPr>
            </w:pPr>
            <w:r>
              <w:rPr>
                <w:rFonts w:hint="eastAsia"/>
                <w:b/>
                <w:bCs/>
                <w:sz w:val="24"/>
                <w:szCs w:val="24"/>
              </w:rPr>
              <w:t>违法事项</w:t>
            </w:r>
          </w:p>
        </w:tc>
        <w:tc>
          <w:tcPr>
            <w:tcW w:w="2640" w:type="dxa"/>
            <w:noWrap w:val="0"/>
            <w:vAlign w:val="center"/>
          </w:tcPr>
          <w:p w14:paraId="045F2766">
            <w:pPr>
              <w:jc w:val="center"/>
              <w:rPr>
                <w:b/>
                <w:bCs/>
                <w:sz w:val="24"/>
                <w:szCs w:val="24"/>
              </w:rPr>
            </w:pPr>
            <w:r>
              <w:rPr>
                <w:rFonts w:hint="eastAsia"/>
                <w:b/>
                <w:bCs/>
                <w:sz w:val="24"/>
                <w:szCs w:val="24"/>
              </w:rPr>
              <w:t>适用情形</w:t>
            </w:r>
          </w:p>
        </w:tc>
        <w:tc>
          <w:tcPr>
            <w:tcW w:w="1220" w:type="dxa"/>
            <w:noWrap w:val="0"/>
            <w:vAlign w:val="center"/>
          </w:tcPr>
          <w:p w14:paraId="0CE6E273">
            <w:pPr>
              <w:jc w:val="center"/>
              <w:rPr>
                <w:rFonts w:hint="eastAsia"/>
                <w:b/>
                <w:bCs/>
                <w:sz w:val="24"/>
                <w:szCs w:val="24"/>
              </w:rPr>
            </w:pPr>
            <w:r>
              <w:rPr>
                <w:rFonts w:hint="eastAsia"/>
                <w:b/>
                <w:bCs/>
                <w:sz w:val="24"/>
                <w:szCs w:val="24"/>
              </w:rPr>
              <w:t>从轻减轻</w:t>
            </w:r>
          </w:p>
          <w:p w14:paraId="5C66261C">
            <w:pPr>
              <w:jc w:val="center"/>
              <w:rPr>
                <w:b/>
                <w:bCs/>
                <w:sz w:val="24"/>
                <w:szCs w:val="24"/>
              </w:rPr>
            </w:pPr>
            <w:r>
              <w:rPr>
                <w:rFonts w:hint="eastAsia"/>
                <w:b/>
                <w:bCs/>
                <w:sz w:val="24"/>
                <w:szCs w:val="24"/>
              </w:rPr>
              <w:t>处罚幅度</w:t>
            </w:r>
          </w:p>
        </w:tc>
        <w:tc>
          <w:tcPr>
            <w:tcW w:w="7280" w:type="dxa"/>
            <w:noWrap w:val="0"/>
            <w:vAlign w:val="center"/>
          </w:tcPr>
          <w:p w14:paraId="0C7D3048">
            <w:pPr>
              <w:jc w:val="center"/>
              <w:rPr>
                <w:b/>
                <w:bCs/>
                <w:sz w:val="24"/>
                <w:szCs w:val="24"/>
              </w:rPr>
            </w:pPr>
            <w:r>
              <w:rPr>
                <w:rFonts w:hint="eastAsia"/>
                <w:b/>
                <w:bCs/>
                <w:sz w:val="24"/>
                <w:szCs w:val="24"/>
              </w:rPr>
              <w:t>法定依据</w:t>
            </w:r>
          </w:p>
        </w:tc>
        <w:tc>
          <w:tcPr>
            <w:tcW w:w="1220" w:type="dxa"/>
            <w:noWrap w:val="0"/>
            <w:vAlign w:val="center"/>
          </w:tcPr>
          <w:p w14:paraId="5115965C">
            <w:pPr>
              <w:jc w:val="center"/>
              <w:rPr>
                <w:b/>
                <w:bCs/>
                <w:sz w:val="24"/>
                <w:szCs w:val="24"/>
              </w:rPr>
            </w:pPr>
            <w:r>
              <w:rPr>
                <w:rFonts w:hint="eastAsia"/>
                <w:b/>
                <w:bCs/>
                <w:sz w:val="24"/>
                <w:szCs w:val="24"/>
              </w:rPr>
              <w:t>权力层级</w:t>
            </w:r>
          </w:p>
        </w:tc>
      </w:tr>
      <w:tr w14:paraId="7BFE4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158" w:hRule="atLeast"/>
        </w:trPr>
        <w:tc>
          <w:tcPr>
            <w:tcW w:w="540" w:type="dxa"/>
            <w:noWrap w:val="0"/>
            <w:vAlign w:val="center"/>
          </w:tcPr>
          <w:p w14:paraId="21F44C12">
            <w:pPr>
              <w:jc w:val="center"/>
              <w:rPr>
                <w:rFonts w:hint="eastAsia" w:ascii="仿宋_GB2312" w:hAnsi="仿宋_GB2312" w:eastAsia="仿宋_GB2312" w:cs="仿宋_GB2312"/>
              </w:rPr>
            </w:pPr>
            <w:r>
              <w:rPr>
                <w:rFonts w:hint="eastAsia" w:ascii="仿宋_GB2312" w:hAnsi="仿宋_GB2312" w:eastAsia="仿宋_GB2312" w:cs="仿宋_GB2312"/>
              </w:rPr>
              <w:t>8</w:t>
            </w:r>
          </w:p>
        </w:tc>
        <w:tc>
          <w:tcPr>
            <w:tcW w:w="940" w:type="dxa"/>
            <w:noWrap w:val="0"/>
            <w:vAlign w:val="center"/>
          </w:tcPr>
          <w:p w14:paraId="2ECA9B35">
            <w:pPr>
              <w:jc w:val="both"/>
              <w:rPr>
                <w:rFonts w:hint="eastAsia" w:ascii="仿宋_GB2312" w:hAnsi="仿宋_GB2312" w:eastAsia="仿宋_GB2312" w:cs="仿宋_GB2312"/>
              </w:rPr>
            </w:pPr>
            <w:r>
              <w:rPr>
                <w:rFonts w:hint="eastAsia" w:ascii="仿宋_GB2312" w:hAnsi="仿宋_GB2312" w:eastAsia="仿宋_GB2312" w:cs="仿宋_GB2312"/>
              </w:rPr>
              <w:t>节约能源</w:t>
            </w:r>
          </w:p>
        </w:tc>
        <w:tc>
          <w:tcPr>
            <w:tcW w:w="1320" w:type="dxa"/>
            <w:noWrap w:val="0"/>
            <w:vAlign w:val="center"/>
          </w:tcPr>
          <w:p w14:paraId="3F763B62">
            <w:pPr>
              <w:jc w:val="both"/>
              <w:rPr>
                <w:rFonts w:hint="eastAsia" w:ascii="仿宋_GB2312" w:hAnsi="仿宋_GB2312" w:eastAsia="仿宋_GB2312" w:cs="仿宋_GB2312"/>
              </w:rPr>
            </w:pPr>
            <w:r>
              <w:rPr>
                <w:rFonts w:hint="eastAsia" w:ascii="仿宋_GB2312" w:hAnsi="仿宋_GB2312" w:eastAsia="仿宋_GB2312" w:cs="仿宋_GB2312"/>
              </w:rPr>
              <w:t>违规无偿向本单位职工提供能源或者对能源消费实行包费制的处罚</w:t>
            </w:r>
          </w:p>
        </w:tc>
        <w:tc>
          <w:tcPr>
            <w:tcW w:w="2640" w:type="dxa"/>
            <w:noWrap w:val="0"/>
            <w:vAlign w:val="center"/>
          </w:tcPr>
          <w:p w14:paraId="0426BEDF">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4FE9B45D">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7E4EC299">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2CA6A07E">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1531351E">
            <w:pPr>
              <w:jc w:val="both"/>
              <w:rPr>
                <w:rFonts w:hint="eastAsia" w:ascii="仿宋_GB2312" w:hAnsi="仿宋_GB2312" w:eastAsia="仿宋_GB2312" w:cs="仿宋_GB2312"/>
              </w:rPr>
            </w:pPr>
            <w:r>
              <w:rPr>
                <w:rFonts w:hint="eastAsia" w:ascii="仿宋_GB2312" w:hAnsi="仿宋_GB2312" w:eastAsia="仿宋_GB2312" w:cs="仿宋_GB2312"/>
                <w:sz w:val="21"/>
                <w:szCs w:val="21"/>
              </w:rPr>
              <w:t>定其他应当从轻或者减轻行政处罚的.</w:t>
            </w:r>
          </w:p>
        </w:tc>
        <w:tc>
          <w:tcPr>
            <w:tcW w:w="1220" w:type="dxa"/>
            <w:noWrap w:val="0"/>
            <w:vAlign w:val="center"/>
          </w:tcPr>
          <w:p w14:paraId="2B7F7445">
            <w:pPr>
              <w:jc w:val="both"/>
              <w:rPr>
                <w:rFonts w:hint="eastAsia" w:ascii="仿宋_GB2312" w:hAnsi="仿宋_GB2312" w:eastAsia="仿宋_GB2312" w:cs="仿宋_GB2312"/>
              </w:rPr>
            </w:pPr>
          </w:p>
        </w:tc>
        <w:tc>
          <w:tcPr>
            <w:tcW w:w="7280" w:type="dxa"/>
            <w:noWrap w:val="0"/>
            <w:vAlign w:val="center"/>
          </w:tcPr>
          <w:p w14:paraId="5C951D0E">
            <w:pPr>
              <w:jc w:val="both"/>
              <w:rPr>
                <w:rFonts w:hint="eastAsia" w:ascii="仿宋_GB2312" w:hAnsi="仿宋_GB2312" w:eastAsia="仿宋_GB2312" w:cs="仿宋_GB2312"/>
              </w:rPr>
            </w:pPr>
            <w:r>
              <w:rPr>
                <w:rFonts w:hint="eastAsia" w:ascii="仿宋_GB2312" w:hAnsi="仿宋_GB2312" w:eastAsia="仿宋_GB2312" w:cs="仿宋_GB2312"/>
              </w:rPr>
              <w:t>【法律】《中华人民共和国节约能源法》第二十八条能源生产经营单位不得向本单位职工无偿提供能源，任何单位不得对能源消费实行包费制。</w:t>
            </w:r>
          </w:p>
          <w:p w14:paraId="77988233">
            <w:pPr>
              <w:jc w:val="both"/>
              <w:rPr>
                <w:rFonts w:hint="eastAsia" w:ascii="仿宋_GB2312" w:hAnsi="仿宋_GB2312" w:eastAsia="仿宋_GB2312" w:cs="仿宋_GB2312"/>
              </w:rPr>
            </w:pPr>
            <w:r>
              <w:rPr>
                <w:rFonts w:hint="eastAsia" w:ascii="仿宋_GB2312" w:hAnsi="仿宋_GB2312" w:eastAsia="仿宋_GB2312" w:cs="仿宋_GB2312"/>
              </w:rPr>
              <w:t>《中华人民共和国节约能源法》第七十七条违反本法规定，无偿向本单位职工提供能源或者对能源消费实行包费制的，由管理节能工作的部门责令限期改正；逾期不改正的，处五万元以上二十万元以下罚款。</w:t>
            </w:r>
          </w:p>
        </w:tc>
        <w:tc>
          <w:tcPr>
            <w:tcW w:w="1220" w:type="dxa"/>
            <w:noWrap w:val="0"/>
            <w:vAlign w:val="center"/>
          </w:tcPr>
          <w:p w14:paraId="42B302DE">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.县级管</w:t>
            </w:r>
          </w:p>
          <w:p w14:paraId="52E80B40">
            <w:pPr>
              <w:jc w:val="both"/>
              <w:rPr>
                <w:rFonts w:hint="eastAsia" w:ascii="仿宋_GB2312" w:hAnsi="仿宋_GB2312" w:eastAsia="仿宋_GB2312" w:cs="仿宋_GB2312"/>
              </w:rPr>
            </w:pPr>
            <w:r>
              <w:rPr>
                <w:rFonts w:hint="eastAsia" w:ascii="仿宋_GB2312" w:hAnsi="仿宋_GB2312" w:eastAsia="仿宋_GB2312" w:cs="仿宋_GB2312"/>
              </w:rPr>
              <w:t>理节能工作的部门</w:t>
            </w:r>
          </w:p>
        </w:tc>
      </w:tr>
      <w:tr w14:paraId="3EFB2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802" w:hRule="atLeast"/>
        </w:trPr>
        <w:tc>
          <w:tcPr>
            <w:tcW w:w="540" w:type="dxa"/>
            <w:noWrap w:val="0"/>
            <w:vAlign w:val="center"/>
          </w:tcPr>
          <w:p w14:paraId="5349D6F6">
            <w:pPr>
              <w:jc w:val="center"/>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9</w:t>
            </w:r>
          </w:p>
        </w:tc>
        <w:tc>
          <w:tcPr>
            <w:tcW w:w="940" w:type="dxa"/>
            <w:noWrap w:val="0"/>
            <w:vAlign w:val="center"/>
          </w:tcPr>
          <w:p w14:paraId="400A8201">
            <w:pPr>
              <w:jc w:val="both"/>
              <w:rPr>
                <w:rFonts w:hint="eastAsia" w:ascii="仿宋_GB2312" w:hAnsi="仿宋_GB2312" w:eastAsia="仿宋_GB2312" w:cs="仿宋_GB2312"/>
              </w:rPr>
            </w:pPr>
            <w:r>
              <w:rPr>
                <w:rFonts w:hint="eastAsia" w:ascii="仿宋_GB2312" w:hAnsi="仿宋_GB2312" w:eastAsia="仿宋_GB2312" w:cs="仿宋_GB2312"/>
              </w:rPr>
              <w:t>节约能源</w:t>
            </w:r>
          </w:p>
        </w:tc>
        <w:tc>
          <w:tcPr>
            <w:tcW w:w="1320" w:type="dxa"/>
            <w:noWrap w:val="0"/>
            <w:vAlign w:val="center"/>
          </w:tcPr>
          <w:p w14:paraId="01DE8DCE">
            <w:pPr>
              <w:jc w:val="both"/>
              <w:rPr>
                <w:rFonts w:hint="eastAsia" w:ascii="仿宋_GB2312" w:hAnsi="仿宋_GB2312" w:eastAsia="仿宋_GB2312" w:cs="仿宋_GB2312"/>
              </w:rPr>
            </w:pPr>
            <w:r>
              <w:rPr>
                <w:rFonts w:hint="eastAsia" w:ascii="仿宋_GB2312" w:hAnsi="仿宋_GB2312" w:eastAsia="仿宋_GB2312" w:cs="仿宋_GB2312"/>
              </w:rPr>
              <w:t>使用国家明令淘汰的用能设备或者生产工艺的处罚</w:t>
            </w:r>
          </w:p>
        </w:tc>
        <w:tc>
          <w:tcPr>
            <w:tcW w:w="2640" w:type="dxa"/>
            <w:noWrap w:val="0"/>
            <w:vAlign w:val="center"/>
          </w:tcPr>
          <w:p w14:paraId="55CC0825">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0B6E7BA7">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78882D6A">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42D49218">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198AF6C8">
            <w:pPr>
              <w:jc w:val="both"/>
              <w:rPr>
                <w:rFonts w:hint="eastAsia" w:ascii="仿宋_GB2312" w:hAnsi="仿宋_GB2312" w:eastAsia="仿宋_GB2312" w:cs="仿宋_GB2312"/>
              </w:rPr>
            </w:pPr>
            <w:r>
              <w:rPr>
                <w:rFonts w:hint="eastAsia" w:ascii="仿宋_GB2312" w:hAnsi="仿宋_GB2312" w:eastAsia="仿宋_GB2312" w:cs="仿宋_GB2312"/>
                <w:sz w:val="21"/>
                <w:szCs w:val="21"/>
              </w:rPr>
              <w:t>定其他应当从轻或者减轻行政处罚的.</w:t>
            </w:r>
          </w:p>
        </w:tc>
        <w:tc>
          <w:tcPr>
            <w:tcW w:w="1220" w:type="dxa"/>
            <w:noWrap w:val="0"/>
            <w:vAlign w:val="center"/>
          </w:tcPr>
          <w:p w14:paraId="15899FD1">
            <w:pPr>
              <w:jc w:val="both"/>
              <w:rPr>
                <w:rFonts w:hint="eastAsia" w:ascii="仿宋_GB2312" w:hAnsi="仿宋_GB2312" w:eastAsia="仿宋_GB2312" w:cs="仿宋_GB2312"/>
              </w:rPr>
            </w:pPr>
          </w:p>
        </w:tc>
        <w:tc>
          <w:tcPr>
            <w:tcW w:w="7280" w:type="dxa"/>
            <w:noWrap w:val="0"/>
            <w:vAlign w:val="center"/>
          </w:tcPr>
          <w:p w14:paraId="1349E47E">
            <w:pPr>
              <w:jc w:val="both"/>
              <w:rPr>
                <w:rFonts w:hint="eastAsia" w:ascii="仿宋_GB2312" w:hAnsi="仿宋_GB2312" w:eastAsia="仿宋_GB2312" w:cs="仿宋_GB2312"/>
              </w:rPr>
            </w:pPr>
            <w:r>
              <w:rPr>
                <w:rFonts w:hint="eastAsia" w:ascii="仿宋_GB2312" w:hAnsi="仿宋_GB2312" w:eastAsia="仿宋_GB2312" w:cs="仿宋_GB2312"/>
              </w:rPr>
              <w:t>【法律】《中华人民共和国节约能源法》第十七条禁止生产、进口、销售国家明令淘汰或者不符合强制性能源效率标准的用能产品、设备；禁止使用国家明令淘汰的用能设备、生产工艺.</w:t>
            </w:r>
          </w:p>
          <w:p w14:paraId="1732CC49">
            <w:pPr>
              <w:jc w:val="both"/>
              <w:rPr>
                <w:rFonts w:hint="eastAsia" w:ascii="仿宋_GB2312" w:hAnsi="仿宋_GB2312" w:eastAsia="仿宋_GB2312" w:cs="仿宋_GB2312"/>
              </w:rPr>
            </w:pPr>
            <w:r>
              <w:rPr>
                <w:rFonts w:hint="eastAsia" w:ascii="仿宋_GB2312" w:hAnsi="仿宋_GB2312" w:eastAsia="仿宋_GB2312" w:cs="仿宋_GB2312"/>
              </w:rPr>
              <w:t>第七十一条 使用国家明令淘汰的用能设备或者生产工艺的，由管理节能工作的部门责令停止使用，没收国家明令淘汰的用能设备；情节严重的，可以由管理节能工作的部门提出意见，报请本级人民政府按照国务院规定的权限责令停业整顿或者关闭.</w:t>
            </w:r>
          </w:p>
        </w:tc>
        <w:tc>
          <w:tcPr>
            <w:tcW w:w="1220" w:type="dxa"/>
            <w:noWrap w:val="0"/>
            <w:vAlign w:val="center"/>
          </w:tcPr>
          <w:p w14:paraId="434C2433">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.县级管</w:t>
            </w:r>
          </w:p>
          <w:p w14:paraId="50BDB8ED">
            <w:pPr>
              <w:jc w:val="both"/>
              <w:rPr>
                <w:rFonts w:hint="eastAsia" w:ascii="仿宋_GB2312" w:hAnsi="仿宋_GB2312" w:eastAsia="仿宋_GB2312" w:cs="仿宋_GB2312"/>
              </w:rPr>
            </w:pPr>
            <w:r>
              <w:rPr>
                <w:rFonts w:hint="eastAsia" w:ascii="仿宋_GB2312" w:hAnsi="仿宋_GB2312" w:eastAsia="仿宋_GB2312" w:cs="仿宋_GB2312"/>
              </w:rPr>
              <w:t>理节能工作的部门</w:t>
            </w:r>
          </w:p>
        </w:tc>
      </w:tr>
    </w:tbl>
    <w:p w14:paraId="4B9AD83C">
      <w:pPr>
        <w:sectPr>
          <w:footerReference r:id="rId5" w:type="default"/>
          <w:pgSz w:w="16840" w:h="11900"/>
          <w:pgMar w:top="520" w:right="720" w:bottom="520" w:left="720" w:header="0" w:footer="520" w:gutter="0"/>
          <w:cols w:space="1701" w:num="1"/>
        </w:sectPr>
      </w:pPr>
    </w:p>
    <w:tbl>
      <w:tblPr>
        <w:tblStyle w:val="28"/>
        <w:tblW w:w="0" w:type="auto"/>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 w:type="dxa"/>
          <w:bottom w:w="0" w:type="dxa"/>
          <w:right w:w="10" w:type="dxa"/>
        </w:tblCellMar>
      </w:tblPr>
      <w:tblGrid>
        <w:gridCol w:w="540"/>
        <w:gridCol w:w="940"/>
        <w:gridCol w:w="1320"/>
        <w:gridCol w:w="2620"/>
        <w:gridCol w:w="1220"/>
        <w:gridCol w:w="7300"/>
        <w:gridCol w:w="1220"/>
      </w:tblGrid>
      <w:tr w14:paraId="34DE7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923" w:hRule="atLeast"/>
        </w:trPr>
        <w:tc>
          <w:tcPr>
            <w:tcW w:w="540" w:type="dxa"/>
            <w:noWrap w:val="0"/>
            <w:vAlign w:val="center"/>
          </w:tcPr>
          <w:p w14:paraId="3F415CEC">
            <w:pPr>
              <w:jc w:val="center"/>
              <w:rPr>
                <w:b/>
                <w:bCs/>
                <w:sz w:val="24"/>
                <w:szCs w:val="24"/>
              </w:rPr>
            </w:pPr>
            <w:r>
              <w:rPr>
                <w:rFonts w:hint="eastAsia"/>
                <w:b/>
                <w:bCs/>
                <w:sz w:val="24"/>
                <w:szCs w:val="24"/>
              </w:rPr>
              <w:t>序号</w:t>
            </w:r>
          </w:p>
        </w:tc>
        <w:tc>
          <w:tcPr>
            <w:tcW w:w="940" w:type="dxa"/>
            <w:noWrap w:val="0"/>
            <w:vAlign w:val="center"/>
          </w:tcPr>
          <w:p w14:paraId="11DEC073">
            <w:pPr>
              <w:jc w:val="center"/>
              <w:rPr>
                <w:b/>
                <w:bCs/>
                <w:sz w:val="24"/>
                <w:szCs w:val="24"/>
              </w:rPr>
            </w:pPr>
            <w:r>
              <w:rPr>
                <w:rFonts w:hint="eastAsia"/>
                <w:b/>
                <w:bCs/>
                <w:sz w:val="24"/>
                <w:szCs w:val="24"/>
              </w:rPr>
              <w:t>管理领域</w:t>
            </w:r>
          </w:p>
        </w:tc>
        <w:tc>
          <w:tcPr>
            <w:tcW w:w="1320" w:type="dxa"/>
            <w:noWrap w:val="0"/>
            <w:vAlign w:val="center"/>
          </w:tcPr>
          <w:p w14:paraId="014A91C3">
            <w:pPr>
              <w:jc w:val="center"/>
              <w:rPr>
                <w:b/>
                <w:bCs/>
                <w:sz w:val="24"/>
                <w:szCs w:val="24"/>
              </w:rPr>
            </w:pPr>
            <w:r>
              <w:rPr>
                <w:rFonts w:hint="eastAsia"/>
                <w:b/>
                <w:bCs/>
                <w:sz w:val="24"/>
                <w:szCs w:val="24"/>
              </w:rPr>
              <w:t>违法事项</w:t>
            </w:r>
          </w:p>
        </w:tc>
        <w:tc>
          <w:tcPr>
            <w:tcW w:w="2620" w:type="dxa"/>
            <w:noWrap w:val="0"/>
            <w:vAlign w:val="center"/>
          </w:tcPr>
          <w:p w14:paraId="2AAA0E8E">
            <w:pPr>
              <w:jc w:val="center"/>
              <w:rPr>
                <w:b/>
                <w:bCs/>
                <w:sz w:val="24"/>
                <w:szCs w:val="24"/>
              </w:rPr>
            </w:pPr>
            <w:r>
              <w:rPr>
                <w:rFonts w:hint="eastAsia"/>
                <w:b/>
                <w:bCs/>
                <w:sz w:val="24"/>
                <w:szCs w:val="24"/>
              </w:rPr>
              <w:t>适用情形</w:t>
            </w:r>
          </w:p>
        </w:tc>
        <w:tc>
          <w:tcPr>
            <w:tcW w:w="1220" w:type="dxa"/>
            <w:noWrap w:val="0"/>
            <w:vAlign w:val="center"/>
          </w:tcPr>
          <w:p w14:paraId="074465E7">
            <w:pPr>
              <w:jc w:val="center"/>
              <w:rPr>
                <w:rFonts w:hint="eastAsia"/>
                <w:b/>
                <w:bCs/>
                <w:sz w:val="24"/>
                <w:szCs w:val="24"/>
              </w:rPr>
            </w:pPr>
            <w:r>
              <w:rPr>
                <w:rFonts w:hint="eastAsia"/>
                <w:b/>
                <w:bCs/>
                <w:sz w:val="24"/>
                <w:szCs w:val="24"/>
              </w:rPr>
              <w:t>从轻减轻</w:t>
            </w:r>
          </w:p>
          <w:p w14:paraId="02B98132">
            <w:pPr>
              <w:jc w:val="center"/>
              <w:rPr>
                <w:b/>
                <w:bCs/>
                <w:sz w:val="24"/>
                <w:szCs w:val="24"/>
              </w:rPr>
            </w:pPr>
            <w:r>
              <w:rPr>
                <w:rFonts w:hint="eastAsia"/>
                <w:b/>
                <w:bCs/>
                <w:sz w:val="24"/>
                <w:szCs w:val="24"/>
              </w:rPr>
              <w:t>处罚幅度</w:t>
            </w:r>
          </w:p>
        </w:tc>
        <w:tc>
          <w:tcPr>
            <w:tcW w:w="7300" w:type="dxa"/>
            <w:noWrap w:val="0"/>
            <w:vAlign w:val="center"/>
          </w:tcPr>
          <w:p w14:paraId="0DD276E4">
            <w:pPr>
              <w:jc w:val="center"/>
              <w:rPr>
                <w:b/>
                <w:bCs/>
                <w:sz w:val="24"/>
                <w:szCs w:val="24"/>
              </w:rPr>
            </w:pPr>
            <w:r>
              <w:rPr>
                <w:rFonts w:hint="eastAsia"/>
                <w:b/>
                <w:bCs/>
                <w:sz w:val="24"/>
                <w:szCs w:val="24"/>
              </w:rPr>
              <w:t>法定依据</w:t>
            </w:r>
          </w:p>
        </w:tc>
        <w:tc>
          <w:tcPr>
            <w:tcW w:w="1220" w:type="dxa"/>
            <w:noWrap w:val="0"/>
            <w:vAlign w:val="center"/>
          </w:tcPr>
          <w:p w14:paraId="49FD31A6">
            <w:pPr>
              <w:jc w:val="center"/>
              <w:rPr>
                <w:b/>
                <w:bCs/>
                <w:sz w:val="24"/>
                <w:szCs w:val="24"/>
              </w:rPr>
            </w:pPr>
            <w:r>
              <w:rPr>
                <w:rFonts w:hint="eastAsia"/>
                <w:b/>
                <w:bCs/>
                <w:sz w:val="24"/>
                <w:szCs w:val="24"/>
              </w:rPr>
              <w:t>权力层级</w:t>
            </w:r>
          </w:p>
        </w:tc>
      </w:tr>
      <w:tr w14:paraId="7C582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359" w:hRule="atLeast"/>
        </w:trPr>
        <w:tc>
          <w:tcPr>
            <w:tcW w:w="540" w:type="dxa"/>
            <w:noWrap w:val="0"/>
            <w:vAlign w:val="center"/>
          </w:tcPr>
          <w:p w14:paraId="42167082">
            <w:pPr>
              <w:jc w:val="center"/>
              <w:rPr>
                <w:rFonts w:hint="eastAsia" w:ascii="仿宋_GB2312" w:hAnsi="仿宋_GB2312" w:eastAsia="仿宋_GB2312" w:cs="仿宋_GB2312"/>
              </w:rPr>
            </w:pPr>
            <w:r>
              <w:rPr>
                <w:rFonts w:hint="eastAsia" w:ascii="仿宋_GB2312" w:hAnsi="仿宋_GB2312" w:eastAsia="仿宋_GB2312" w:cs="仿宋_GB2312"/>
              </w:rPr>
              <w:t>10</w:t>
            </w:r>
          </w:p>
        </w:tc>
        <w:tc>
          <w:tcPr>
            <w:tcW w:w="940" w:type="dxa"/>
            <w:noWrap w:val="0"/>
            <w:vAlign w:val="center"/>
          </w:tcPr>
          <w:p w14:paraId="400F0355">
            <w:pPr>
              <w:jc w:val="both"/>
              <w:rPr>
                <w:rFonts w:hint="eastAsia" w:ascii="仿宋_GB2312" w:hAnsi="仿宋_GB2312" w:eastAsia="仿宋_GB2312" w:cs="仿宋_GB2312"/>
              </w:rPr>
            </w:pPr>
            <w:r>
              <w:rPr>
                <w:rFonts w:hint="eastAsia" w:ascii="仿宋_GB2312" w:hAnsi="仿宋_GB2312" w:eastAsia="仿宋_GB2312" w:cs="仿宋_GB2312"/>
              </w:rPr>
              <w:t>节约能源</w:t>
            </w:r>
          </w:p>
        </w:tc>
        <w:tc>
          <w:tcPr>
            <w:tcW w:w="1320" w:type="dxa"/>
            <w:noWrap w:val="0"/>
            <w:vAlign w:val="center"/>
          </w:tcPr>
          <w:p w14:paraId="1FDEA186">
            <w:pPr>
              <w:jc w:val="both"/>
              <w:rPr>
                <w:rFonts w:hint="eastAsia" w:ascii="仿宋_GB2312" w:hAnsi="仿宋_GB2312" w:eastAsia="仿宋_GB2312" w:cs="仿宋_GB2312"/>
              </w:rPr>
            </w:pPr>
            <w:r>
              <w:rPr>
                <w:rFonts w:hint="eastAsia" w:ascii="仿宋_GB2312" w:hAnsi="仿宋_GB2312" w:eastAsia="仿宋_GB2312" w:cs="仿宋_GB2312"/>
              </w:rPr>
              <w:t>重点用能单位未履行节能管理义务的处罚</w:t>
            </w:r>
          </w:p>
        </w:tc>
        <w:tc>
          <w:tcPr>
            <w:tcW w:w="2620" w:type="dxa"/>
            <w:noWrap w:val="0"/>
            <w:vAlign w:val="center"/>
          </w:tcPr>
          <w:p w14:paraId="156BB72F">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4AA3F9A6">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6F9DA499">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4152DB40">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39FFD999">
            <w:pPr>
              <w:jc w:val="both"/>
              <w:rPr>
                <w:rFonts w:hint="eastAsia" w:ascii="仿宋_GB2312" w:hAnsi="仿宋_GB2312" w:eastAsia="仿宋_GB2312" w:cs="仿宋_GB2312"/>
              </w:rPr>
            </w:pPr>
            <w:r>
              <w:rPr>
                <w:rFonts w:hint="eastAsia" w:ascii="仿宋_GB2312" w:hAnsi="仿宋_GB2312" w:eastAsia="仿宋_GB2312" w:cs="仿宋_GB2312"/>
                <w:sz w:val="21"/>
                <w:szCs w:val="21"/>
              </w:rPr>
              <w:t>定其他应当从轻或者减轻行政处罚的.</w:t>
            </w:r>
          </w:p>
        </w:tc>
        <w:tc>
          <w:tcPr>
            <w:tcW w:w="1220" w:type="dxa"/>
            <w:noWrap w:val="0"/>
            <w:vAlign w:val="center"/>
          </w:tcPr>
          <w:p w14:paraId="5AC54C0F">
            <w:pPr>
              <w:jc w:val="both"/>
              <w:rPr>
                <w:rFonts w:hint="eastAsia" w:ascii="仿宋_GB2312" w:hAnsi="仿宋_GB2312" w:eastAsia="仿宋_GB2312" w:cs="仿宋_GB2312"/>
              </w:rPr>
            </w:pPr>
            <w:r>
              <w:rPr>
                <w:rFonts w:hint="eastAsia" w:ascii="仿宋_GB2312" w:hAnsi="仿宋_GB2312" w:eastAsia="仿宋_GB2312" w:cs="仿宋_GB2312"/>
              </w:rPr>
              <w:t>处10万元以</w:t>
            </w:r>
          </w:p>
          <w:p w14:paraId="37299B9A">
            <w:pPr>
              <w:jc w:val="both"/>
              <w:rPr>
                <w:rFonts w:hint="eastAsia" w:ascii="仿宋_GB2312" w:hAnsi="仿宋_GB2312" w:eastAsia="仿宋_GB2312" w:cs="仿宋_GB2312"/>
              </w:rPr>
            </w:pPr>
            <w:r>
              <w:rPr>
                <w:rFonts w:hint="eastAsia" w:ascii="仿宋_GB2312" w:hAnsi="仿宋_GB2312" w:eastAsia="仿宋_GB2312" w:cs="仿宋_GB2312"/>
              </w:rPr>
              <w:t>上15万元以</w:t>
            </w:r>
          </w:p>
          <w:p w14:paraId="2064691B">
            <w:pPr>
              <w:jc w:val="both"/>
              <w:rPr>
                <w:rFonts w:hint="eastAsia" w:ascii="仿宋_GB2312" w:hAnsi="仿宋_GB2312" w:eastAsia="仿宋_GB2312" w:cs="仿宋_GB2312"/>
              </w:rPr>
            </w:pPr>
            <w:r>
              <w:rPr>
                <w:rFonts w:hint="eastAsia" w:ascii="仿宋_GB2312" w:hAnsi="仿宋_GB2312" w:eastAsia="仿宋_GB2312" w:cs="仿宋_GB2312"/>
              </w:rPr>
              <w:t>下罚款.将相</w:t>
            </w:r>
          </w:p>
          <w:p w14:paraId="351BBF06">
            <w:pPr>
              <w:jc w:val="both"/>
              <w:rPr>
                <w:rFonts w:hint="eastAsia" w:ascii="仿宋_GB2312" w:hAnsi="仿宋_GB2312" w:eastAsia="仿宋_GB2312" w:cs="仿宋_GB2312"/>
              </w:rPr>
            </w:pPr>
            <w:r>
              <w:rPr>
                <w:rFonts w:hint="eastAsia" w:ascii="仿宋_GB2312" w:hAnsi="仿宋_GB2312" w:eastAsia="仿宋_GB2312" w:cs="仿宋_GB2312"/>
              </w:rPr>
              <w:t>关情况向社会公布，并纳入社会信用体系记录.</w:t>
            </w:r>
          </w:p>
        </w:tc>
        <w:tc>
          <w:tcPr>
            <w:tcW w:w="7300" w:type="dxa"/>
            <w:noWrap w:val="0"/>
            <w:vAlign w:val="center"/>
          </w:tcPr>
          <w:p w14:paraId="336747EF">
            <w:pPr>
              <w:jc w:val="both"/>
              <w:rPr>
                <w:rFonts w:hint="eastAsia" w:ascii="仿宋_GB2312" w:hAnsi="仿宋_GB2312" w:eastAsia="仿宋_GB2312" w:cs="仿宋_GB2312"/>
              </w:rPr>
            </w:pPr>
            <w:r>
              <w:rPr>
                <w:rFonts w:hint="eastAsia" w:ascii="仿宋_GB2312" w:hAnsi="仿宋_GB2312" w:eastAsia="仿宋_GB2312" w:cs="仿宋_GB2312"/>
              </w:rPr>
              <w:t>【法律】《中华人民共和国节约能源法》第五十四条管理节能工作的部门应当对重点用能单位报送的能源利用状况报告进行审查。对节能管理制度不健全，节能措施不落实，能源利用效率低的重点用能单位，管理节能工作的部门应当开展现场调查，组织实施用能设备能源效率检测，责令实施能源审计，并提出书面整改要求，限期整改。第八十二条重点用能单位未按照本法规定报送能源利用状况报告或者报告内容不实的、由管理节能工作的部门责令限期改正；逾期不改正的，处一万元以上五万元以下罚款。第八十三条重点用能单位无正当理由拒不落实本法第五十四条规定的整改要求或者整改没有达到要求的，由管理节能工作的部门处十万元以上三十万元以下罚款。第八十四条重点用能单位未按照本法规定设立能源管理岗位，聘任能源管理负责人，并报管理节能工作的部门和有关部门备案的，由管理节能工作的部门责令改正；拒不改正的，处一万元以上三万元以下罚款。</w:t>
            </w:r>
          </w:p>
        </w:tc>
        <w:tc>
          <w:tcPr>
            <w:tcW w:w="1220" w:type="dxa"/>
            <w:noWrap w:val="0"/>
            <w:vAlign w:val="center"/>
          </w:tcPr>
          <w:p w14:paraId="20B32241">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.县级管</w:t>
            </w:r>
          </w:p>
          <w:p w14:paraId="5EE744B9">
            <w:pPr>
              <w:jc w:val="both"/>
              <w:rPr>
                <w:rFonts w:hint="eastAsia" w:ascii="仿宋_GB2312" w:hAnsi="仿宋_GB2312" w:eastAsia="仿宋_GB2312" w:cs="仿宋_GB2312"/>
              </w:rPr>
            </w:pPr>
            <w:r>
              <w:rPr>
                <w:rFonts w:hint="eastAsia" w:ascii="仿宋_GB2312" w:hAnsi="仿宋_GB2312" w:eastAsia="仿宋_GB2312" w:cs="仿宋_GB2312"/>
              </w:rPr>
              <w:t>理节能工作的部门</w:t>
            </w:r>
          </w:p>
        </w:tc>
      </w:tr>
      <w:tr w14:paraId="49EFF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836" w:hRule="atLeast"/>
        </w:trPr>
        <w:tc>
          <w:tcPr>
            <w:tcW w:w="540" w:type="dxa"/>
            <w:noWrap w:val="0"/>
            <w:vAlign w:val="center"/>
          </w:tcPr>
          <w:p w14:paraId="4690B9C5">
            <w:pPr>
              <w:jc w:val="center"/>
              <w:rPr>
                <w:rFonts w:hint="eastAsia" w:ascii="仿宋_GB2312" w:hAnsi="仿宋_GB2312" w:eastAsia="仿宋_GB2312" w:cs="仿宋_GB2312"/>
              </w:rPr>
            </w:pPr>
            <w:r>
              <w:rPr>
                <w:rFonts w:hint="eastAsia" w:ascii="仿宋_GB2312" w:hAnsi="仿宋_GB2312" w:eastAsia="仿宋_GB2312" w:cs="仿宋_GB2312"/>
              </w:rPr>
              <w:t>11</w:t>
            </w:r>
          </w:p>
        </w:tc>
        <w:tc>
          <w:tcPr>
            <w:tcW w:w="940" w:type="dxa"/>
            <w:noWrap w:val="0"/>
            <w:vAlign w:val="center"/>
          </w:tcPr>
          <w:p w14:paraId="00B8BBF3">
            <w:pPr>
              <w:jc w:val="both"/>
              <w:rPr>
                <w:rFonts w:hint="eastAsia" w:ascii="仿宋_GB2312" w:hAnsi="仿宋_GB2312" w:eastAsia="仿宋_GB2312" w:cs="仿宋_GB2312"/>
              </w:rPr>
            </w:pPr>
            <w:r>
              <w:rPr>
                <w:rFonts w:hint="eastAsia" w:ascii="仿宋_GB2312" w:hAnsi="仿宋_GB2312" w:eastAsia="仿宋_GB2312" w:cs="仿宋_GB2312"/>
              </w:rPr>
              <w:t>节约能源</w:t>
            </w:r>
          </w:p>
        </w:tc>
        <w:tc>
          <w:tcPr>
            <w:tcW w:w="1320" w:type="dxa"/>
            <w:noWrap w:val="0"/>
            <w:vAlign w:val="center"/>
          </w:tcPr>
          <w:p w14:paraId="460E2847">
            <w:pPr>
              <w:jc w:val="both"/>
              <w:rPr>
                <w:rFonts w:hint="eastAsia" w:ascii="仿宋_GB2312" w:hAnsi="仿宋_GB2312" w:eastAsia="仿宋_GB2312" w:cs="仿宋_GB2312"/>
              </w:rPr>
            </w:pPr>
            <w:r>
              <w:rPr>
                <w:rFonts w:hint="eastAsia" w:ascii="仿宋_GB2312" w:hAnsi="仿宋_GB2312" w:eastAsia="仿宋_GB2312" w:cs="仿宋_GB2312"/>
              </w:rPr>
              <w:t>固定资产投资项目建设单位开工建设不符</w:t>
            </w:r>
          </w:p>
          <w:p w14:paraId="5643A914">
            <w:pPr>
              <w:jc w:val="both"/>
              <w:rPr>
                <w:rFonts w:hint="eastAsia" w:ascii="仿宋_GB2312" w:hAnsi="仿宋_GB2312" w:eastAsia="仿宋_GB2312" w:cs="仿宋_GB2312"/>
              </w:rPr>
            </w:pPr>
            <w:r>
              <w:rPr>
                <w:rFonts w:hint="eastAsia" w:ascii="仿宋_GB2312" w:hAnsi="仿宋_GB2312" w:eastAsia="仿宋_GB2312" w:cs="仿宋_GB2312"/>
              </w:rPr>
              <w:t>合强制性节能标准的项目或者将该项目投</w:t>
            </w:r>
          </w:p>
          <w:p w14:paraId="5E157CF9">
            <w:pPr>
              <w:jc w:val="both"/>
              <w:rPr>
                <w:rFonts w:hint="eastAsia" w:ascii="仿宋_GB2312" w:hAnsi="仿宋_GB2312" w:eastAsia="仿宋_GB2312" w:cs="仿宋_GB2312"/>
              </w:rPr>
            </w:pPr>
            <w:r>
              <w:rPr>
                <w:rFonts w:hint="eastAsia" w:ascii="仿宋_GB2312" w:hAnsi="仿宋_GB2312" w:eastAsia="仿宋_GB2312" w:cs="仿宋_GB2312"/>
              </w:rPr>
              <w:t>入生产，使用的，不能改造或者逾期不改</w:t>
            </w:r>
          </w:p>
          <w:p w14:paraId="32419883">
            <w:pPr>
              <w:jc w:val="both"/>
              <w:rPr>
                <w:rFonts w:hint="eastAsia" w:ascii="仿宋_GB2312" w:hAnsi="仿宋_GB2312" w:eastAsia="仿宋_GB2312" w:cs="仿宋_GB2312"/>
              </w:rPr>
            </w:pPr>
            <w:r>
              <w:rPr>
                <w:rFonts w:hint="eastAsia" w:ascii="仿宋_GB2312" w:hAnsi="仿宋_GB2312" w:eastAsia="仿宋_GB2312" w:cs="仿宋_GB2312"/>
              </w:rPr>
              <w:t>造的处罚</w:t>
            </w:r>
          </w:p>
        </w:tc>
        <w:tc>
          <w:tcPr>
            <w:tcW w:w="2620" w:type="dxa"/>
            <w:noWrap w:val="0"/>
            <w:vAlign w:val="center"/>
          </w:tcPr>
          <w:p w14:paraId="422A82A4">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2081DE27">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6BE32FE2">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48193870">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2B9D29AD">
            <w:pPr>
              <w:jc w:val="both"/>
              <w:rPr>
                <w:rFonts w:hint="eastAsia" w:ascii="仿宋_GB2312" w:hAnsi="仿宋_GB2312" w:eastAsia="仿宋_GB2312" w:cs="仿宋_GB2312"/>
              </w:rPr>
            </w:pPr>
            <w:r>
              <w:rPr>
                <w:rFonts w:hint="eastAsia" w:ascii="仿宋_GB2312" w:hAnsi="仿宋_GB2312" w:eastAsia="仿宋_GB2312" w:cs="仿宋_GB2312"/>
                <w:sz w:val="21"/>
                <w:szCs w:val="21"/>
              </w:rPr>
              <w:t>定其他应当从轻或者减轻行政处罚的.</w:t>
            </w:r>
          </w:p>
        </w:tc>
        <w:tc>
          <w:tcPr>
            <w:tcW w:w="1220" w:type="dxa"/>
            <w:noWrap w:val="0"/>
            <w:vAlign w:val="center"/>
          </w:tcPr>
          <w:p w14:paraId="2EB1E7A1">
            <w:pPr>
              <w:jc w:val="both"/>
              <w:rPr>
                <w:rFonts w:hint="eastAsia" w:ascii="仿宋_GB2312" w:hAnsi="仿宋_GB2312" w:eastAsia="仿宋_GB2312" w:cs="仿宋_GB2312"/>
              </w:rPr>
            </w:pPr>
          </w:p>
        </w:tc>
        <w:tc>
          <w:tcPr>
            <w:tcW w:w="7300" w:type="dxa"/>
            <w:noWrap w:val="0"/>
            <w:vAlign w:val="center"/>
          </w:tcPr>
          <w:p w14:paraId="29733039">
            <w:pPr>
              <w:jc w:val="both"/>
              <w:rPr>
                <w:rFonts w:hint="eastAsia" w:ascii="仿宋_GB2312" w:hAnsi="仿宋_GB2312" w:eastAsia="仿宋_GB2312" w:cs="仿宋_GB2312"/>
              </w:rPr>
            </w:pPr>
            <w:r>
              <w:rPr>
                <w:rFonts w:hint="eastAsia" w:ascii="仿宋_GB2312" w:hAnsi="仿宋_GB2312" w:eastAsia="仿宋_GB2312" w:cs="仿宋_GB2312"/>
              </w:rPr>
              <w:t>【法律】《中华人民共和国节约能源法》第六十八条负责审批政府投资项目的机关违反本法规定，对不符合强制性节能标准的项目</w:t>
            </w:r>
            <w:r>
              <w:rPr>
                <w:rFonts w:hint="eastAsia" w:ascii="仿宋_GB2312" w:hAnsi="仿宋_GB2312" w:eastAsia="仿宋_GB2312" w:cs="仿宋_GB2312"/>
                <w:lang w:val="en-US" w:eastAsia="zh-CN"/>
              </w:rPr>
              <w:t>予</w:t>
            </w:r>
            <w:r>
              <w:rPr>
                <w:rFonts w:hint="eastAsia" w:ascii="仿宋_GB2312" w:hAnsi="仿宋_GB2312" w:eastAsia="仿宋_GB2312" w:cs="仿宋_GB2312"/>
              </w:rPr>
              <w:t>以批准建设的，对直接负责的主管人员和其他直接责任人员</w:t>
            </w:r>
            <w:r>
              <w:rPr>
                <w:rFonts w:hint="eastAsia" w:ascii="仿宋_GB2312" w:hAnsi="仿宋_GB2312" w:eastAsia="仿宋_GB2312" w:cs="仿宋_GB2312"/>
                <w:lang w:eastAsia="zh-CN"/>
              </w:rPr>
              <w:t>依法给予</w:t>
            </w:r>
            <w:r>
              <w:rPr>
                <w:rFonts w:hint="eastAsia" w:ascii="仿宋_GB2312" w:hAnsi="仿宋_GB2312" w:eastAsia="仿宋_GB2312" w:cs="仿宋_GB2312"/>
              </w:rPr>
              <w:t>处分。固定资产投资项目建设单位开工建设不符合强制性节能标准的项目或者将该项目投入生产，使用的，由管理节能工作的部门责令停止建设或者停止生产、使用，限期改造；不能改造或者逾期不改造的生产性项目，由管理节能工作的部门报请本级人民政府按照国务院规定的权限责令关闭。</w:t>
            </w:r>
          </w:p>
        </w:tc>
        <w:tc>
          <w:tcPr>
            <w:tcW w:w="1220" w:type="dxa"/>
            <w:noWrap w:val="0"/>
            <w:vAlign w:val="center"/>
          </w:tcPr>
          <w:p w14:paraId="7D95A2F8">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.县级管</w:t>
            </w:r>
          </w:p>
          <w:p w14:paraId="1805DC36">
            <w:pPr>
              <w:jc w:val="both"/>
              <w:rPr>
                <w:rFonts w:hint="eastAsia" w:ascii="仿宋_GB2312" w:hAnsi="仿宋_GB2312" w:eastAsia="仿宋_GB2312" w:cs="仿宋_GB2312"/>
              </w:rPr>
            </w:pPr>
            <w:r>
              <w:rPr>
                <w:rFonts w:hint="eastAsia" w:ascii="仿宋_GB2312" w:hAnsi="仿宋_GB2312" w:eastAsia="仿宋_GB2312" w:cs="仿宋_GB2312"/>
              </w:rPr>
              <w:t>理节能工作的部门</w:t>
            </w:r>
          </w:p>
        </w:tc>
      </w:tr>
      <w:tr w14:paraId="7ABE02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923" w:hRule="atLeast"/>
        </w:trPr>
        <w:tc>
          <w:tcPr>
            <w:tcW w:w="540" w:type="dxa"/>
            <w:noWrap w:val="0"/>
            <w:vAlign w:val="center"/>
          </w:tcPr>
          <w:p w14:paraId="4BAB89B4">
            <w:pPr>
              <w:jc w:val="center"/>
              <w:rPr>
                <w:b/>
                <w:bCs/>
                <w:sz w:val="24"/>
                <w:szCs w:val="24"/>
              </w:rPr>
            </w:pPr>
            <w:r>
              <w:rPr>
                <w:rFonts w:hint="eastAsia"/>
                <w:b/>
                <w:bCs/>
                <w:sz w:val="24"/>
                <w:szCs w:val="24"/>
              </w:rPr>
              <w:t>序号</w:t>
            </w:r>
          </w:p>
        </w:tc>
        <w:tc>
          <w:tcPr>
            <w:tcW w:w="940" w:type="dxa"/>
            <w:noWrap w:val="0"/>
            <w:vAlign w:val="center"/>
          </w:tcPr>
          <w:p w14:paraId="0DE2E110">
            <w:pPr>
              <w:jc w:val="center"/>
              <w:rPr>
                <w:b/>
                <w:bCs/>
                <w:sz w:val="24"/>
                <w:szCs w:val="24"/>
              </w:rPr>
            </w:pPr>
            <w:r>
              <w:rPr>
                <w:rFonts w:hint="eastAsia"/>
                <w:b/>
                <w:bCs/>
                <w:sz w:val="24"/>
                <w:szCs w:val="24"/>
              </w:rPr>
              <w:t>管理领域</w:t>
            </w:r>
          </w:p>
        </w:tc>
        <w:tc>
          <w:tcPr>
            <w:tcW w:w="1320" w:type="dxa"/>
            <w:noWrap w:val="0"/>
            <w:vAlign w:val="center"/>
          </w:tcPr>
          <w:p w14:paraId="3D95F540">
            <w:pPr>
              <w:jc w:val="center"/>
              <w:rPr>
                <w:b/>
                <w:bCs/>
                <w:sz w:val="24"/>
                <w:szCs w:val="24"/>
              </w:rPr>
            </w:pPr>
            <w:r>
              <w:rPr>
                <w:rFonts w:hint="eastAsia"/>
                <w:b/>
                <w:bCs/>
                <w:sz w:val="24"/>
                <w:szCs w:val="24"/>
              </w:rPr>
              <w:t>违法事项</w:t>
            </w:r>
          </w:p>
        </w:tc>
        <w:tc>
          <w:tcPr>
            <w:tcW w:w="2620" w:type="dxa"/>
            <w:noWrap w:val="0"/>
            <w:vAlign w:val="center"/>
          </w:tcPr>
          <w:p w14:paraId="4585DEAF">
            <w:pPr>
              <w:jc w:val="center"/>
              <w:rPr>
                <w:b/>
                <w:bCs/>
                <w:sz w:val="24"/>
                <w:szCs w:val="24"/>
              </w:rPr>
            </w:pPr>
            <w:r>
              <w:rPr>
                <w:rFonts w:hint="eastAsia"/>
                <w:b/>
                <w:bCs/>
                <w:sz w:val="24"/>
                <w:szCs w:val="24"/>
              </w:rPr>
              <w:t>适用情形</w:t>
            </w:r>
          </w:p>
        </w:tc>
        <w:tc>
          <w:tcPr>
            <w:tcW w:w="1220" w:type="dxa"/>
            <w:noWrap w:val="0"/>
            <w:vAlign w:val="center"/>
          </w:tcPr>
          <w:p w14:paraId="081E29A9">
            <w:pPr>
              <w:jc w:val="center"/>
              <w:rPr>
                <w:rFonts w:hint="eastAsia"/>
                <w:b/>
                <w:bCs/>
                <w:sz w:val="24"/>
                <w:szCs w:val="24"/>
              </w:rPr>
            </w:pPr>
            <w:r>
              <w:rPr>
                <w:rFonts w:hint="eastAsia"/>
                <w:b/>
                <w:bCs/>
                <w:sz w:val="24"/>
                <w:szCs w:val="24"/>
              </w:rPr>
              <w:t>从轻减轻</w:t>
            </w:r>
          </w:p>
          <w:p w14:paraId="7B8D7244">
            <w:pPr>
              <w:jc w:val="center"/>
              <w:rPr>
                <w:b/>
                <w:bCs/>
                <w:sz w:val="24"/>
                <w:szCs w:val="24"/>
              </w:rPr>
            </w:pPr>
            <w:r>
              <w:rPr>
                <w:rFonts w:hint="eastAsia"/>
                <w:b/>
                <w:bCs/>
                <w:sz w:val="24"/>
                <w:szCs w:val="24"/>
              </w:rPr>
              <w:t>处罚幅度</w:t>
            </w:r>
          </w:p>
        </w:tc>
        <w:tc>
          <w:tcPr>
            <w:tcW w:w="7300" w:type="dxa"/>
            <w:noWrap w:val="0"/>
            <w:vAlign w:val="center"/>
          </w:tcPr>
          <w:p w14:paraId="33535CB3">
            <w:pPr>
              <w:jc w:val="center"/>
              <w:rPr>
                <w:b/>
                <w:bCs/>
                <w:sz w:val="24"/>
                <w:szCs w:val="24"/>
              </w:rPr>
            </w:pPr>
            <w:r>
              <w:rPr>
                <w:rFonts w:hint="eastAsia"/>
                <w:b/>
                <w:bCs/>
                <w:sz w:val="24"/>
                <w:szCs w:val="24"/>
              </w:rPr>
              <w:t>法定依据</w:t>
            </w:r>
          </w:p>
        </w:tc>
        <w:tc>
          <w:tcPr>
            <w:tcW w:w="1220" w:type="dxa"/>
            <w:noWrap w:val="0"/>
            <w:vAlign w:val="center"/>
          </w:tcPr>
          <w:p w14:paraId="0E160B5A">
            <w:pPr>
              <w:jc w:val="center"/>
              <w:rPr>
                <w:b/>
                <w:bCs/>
                <w:sz w:val="24"/>
                <w:szCs w:val="24"/>
              </w:rPr>
            </w:pPr>
            <w:r>
              <w:rPr>
                <w:rFonts w:hint="eastAsia"/>
                <w:b/>
                <w:bCs/>
                <w:sz w:val="24"/>
                <w:szCs w:val="24"/>
              </w:rPr>
              <w:t>权力层级</w:t>
            </w:r>
          </w:p>
        </w:tc>
      </w:tr>
      <w:tr w14:paraId="294573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 w:type="dxa"/>
            <w:bottom w:w="0" w:type="dxa"/>
            <w:right w:w="10" w:type="dxa"/>
          </w:tblCellMar>
        </w:tblPrEx>
        <w:trPr>
          <w:trHeight w:val="4852" w:hRule="atLeast"/>
        </w:trPr>
        <w:tc>
          <w:tcPr>
            <w:tcW w:w="540" w:type="dxa"/>
            <w:noWrap w:val="0"/>
            <w:vAlign w:val="center"/>
          </w:tcPr>
          <w:p w14:paraId="77B546AD">
            <w:pPr>
              <w:jc w:val="center"/>
              <w:rPr>
                <w:rFonts w:hint="eastAsia" w:ascii="仿宋_GB2312" w:hAnsi="仿宋_GB2312" w:eastAsia="仿宋_GB2312" w:cs="仿宋_GB2312"/>
              </w:rPr>
            </w:pPr>
            <w:r>
              <w:rPr>
                <w:rFonts w:hint="eastAsia" w:ascii="仿宋_GB2312" w:hAnsi="仿宋_GB2312" w:eastAsia="仿宋_GB2312" w:cs="仿宋_GB2312"/>
              </w:rPr>
              <w:t>12</w:t>
            </w:r>
          </w:p>
        </w:tc>
        <w:tc>
          <w:tcPr>
            <w:tcW w:w="940" w:type="dxa"/>
            <w:noWrap w:val="0"/>
            <w:vAlign w:val="center"/>
          </w:tcPr>
          <w:p w14:paraId="5FE6707E">
            <w:pPr>
              <w:jc w:val="both"/>
              <w:rPr>
                <w:rFonts w:hint="eastAsia" w:ascii="仿宋_GB2312" w:hAnsi="仿宋_GB2312" w:eastAsia="仿宋_GB2312" w:cs="仿宋_GB2312"/>
              </w:rPr>
            </w:pPr>
            <w:r>
              <w:rPr>
                <w:rFonts w:hint="eastAsia" w:ascii="仿宋_GB2312" w:hAnsi="仿宋_GB2312" w:eastAsia="仿宋_GB2312" w:cs="仿宋_GB2312"/>
              </w:rPr>
              <w:t>节约能源</w:t>
            </w:r>
          </w:p>
        </w:tc>
        <w:tc>
          <w:tcPr>
            <w:tcW w:w="1320" w:type="dxa"/>
            <w:noWrap w:val="0"/>
            <w:vAlign w:val="center"/>
          </w:tcPr>
          <w:p w14:paraId="0E80B707">
            <w:pPr>
              <w:jc w:val="both"/>
              <w:rPr>
                <w:rFonts w:hint="eastAsia" w:ascii="仿宋_GB2312" w:hAnsi="仿宋_GB2312" w:eastAsia="仿宋_GB2312" w:cs="仿宋_GB2312"/>
              </w:rPr>
            </w:pPr>
            <w:r>
              <w:rPr>
                <w:rFonts w:hint="eastAsia" w:ascii="仿宋_GB2312" w:hAnsi="仿宋_GB2312" w:eastAsia="仿宋_GB2312" w:cs="仿宋_GB2312"/>
              </w:rPr>
              <w:t>从事节能咨询、设计</w:t>
            </w:r>
            <w:r>
              <w:rPr>
                <w:rFonts w:hint="eastAsia" w:ascii="仿宋_GB2312" w:hAnsi="仿宋_GB2312" w:eastAsia="仿宋_GB2312" w:cs="仿宋_GB2312"/>
                <w:lang w:eastAsia="zh-CN"/>
              </w:rPr>
              <w:t>、</w:t>
            </w:r>
            <w:r>
              <w:rPr>
                <w:rFonts w:hint="eastAsia" w:ascii="仿宋_GB2312" w:hAnsi="仿宋_GB2312" w:eastAsia="仿宋_GB2312" w:cs="仿宋_GB2312"/>
              </w:rPr>
              <w:t>评估、检测、审计.认证等服务的机构提供虚假信息的处罚</w:t>
            </w:r>
          </w:p>
        </w:tc>
        <w:tc>
          <w:tcPr>
            <w:tcW w:w="2620" w:type="dxa"/>
            <w:noWrap w:val="0"/>
            <w:vAlign w:val="center"/>
          </w:tcPr>
          <w:p w14:paraId="07AAE4CE">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【法律】《行政处罚法》第三十二条 当事人有下列情形之一，应当从轻或者减轻行政处罚：</w:t>
            </w:r>
          </w:p>
          <w:p w14:paraId="42781EB6">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（一）</w:t>
            </w:r>
            <w:r>
              <w:rPr>
                <w:rFonts w:hint="eastAsia" w:ascii="仿宋_GB2312" w:hAnsi="仿宋_GB2312" w:eastAsia="仿宋_GB2312" w:cs="仿宋_GB2312"/>
                <w:sz w:val="21"/>
                <w:szCs w:val="21"/>
              </w:rPr>
              <w:t>主动消除或者减轻违法行为危害后果的；</w:t>
            </w:r>
          </w:p>
          <w:p w14:paraId="5B522FD2">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（二）</w:t>
            </w:r>
            <w:r>
              <w:rPr>
                <w:rFonts w:hint="eastAsia" w:ascii="仿宋_GB2312" w:hAnsi="仿宋_GB2312" w:eastAsia="仿宋_GB2312" w:cs="仿宋_GB2312"/>
                <w:sz w:val="21"/>
                <w:szCs w:val="21"/>
              </w:rPr>
              <w:t>受他人胁迫或者诱骗实施违法行为的；</w:t>
            </w:r>
          </w:p>
          <w:p w14:paraId="1FF93EBB">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（三）主动供述行政机关尚未掌握的违法行为的；（四）配合行政机关查处违法行为有立功表现的；（五）法律、法规、规章规</w:t>
            </w:r>
          </w:p>
          <w:p w14:paraId="63A32A6D">
            <w:pPr>
              <w:jc w:val="both"/>
              <w:rPr>
                <w:rFonts w:hint="eastAsia" w:ascii="仿宋_GB2312" w:hAnsi="仿宋_GB2312" w:eastAsia="仿宋_GB2312" w:cs="仿宋_GB2312"/>
              </w:rPr>
            </w:pPr>
            <w:r>
              <w:rPr>
                <w:rFonts w:hint="eastAsia" w:ascii="仿宋_GB2312" w:hAnsi="仿宋_GB2312" w:eastAsia="仿宋_GB2312" w:cs="仿宋_GB2312"/>
                <w:sz w:val="21"/>
                <w:szCs w:val="21"/>
              </w:rPr>
              <w:t>定其他应当从轻或者减轻行政处罚的.</w:t>
            </w:r>
          </w:p>
        </w:tc>
        <w:tc>
          <w:tcPr>
            <w:tcW w:w="1220" w:type="dxa"/>
            <w:noWrap w:val="0"/>
            <w:vAlign w:val="center"/>
          </w:tcPr>
          <w:p w14:paraId="16CE61AA">
            <w:pPr>
              <w:jc w:val="both"/>
              <w:rPr>
                <w:rFonts w:hint="eastAsia" w:ascii="仿宋_GB2312" w:hAnsi="仿宋_GB2312" w:eastAsia="仿宋_GB2312" w:cs="仿宋_GB2312"/>
              </w:rPr>
            </w:pPr>
            <w:r>
              <w:rPr>
                <w:rFonts w:hint="eastAsia" w:ascii="仿宋_GB2312" w:hAnsi="仿宋_GB2312" w:eastAsia="仿宋_GB2312" w:cs="仿宋_GB2312"/>
              </w:rPr>
              <w:t>责令改正，没收违法所得，并处5万元以上6万元以下</w:t>
            </w:r>
          </w:p>
          <w:p w14:paraId="4A4A7E08">
            <w:pPr>
              <w:jc w:val="both"/>
              <w:rPr>
                <w:rFonts w:hint="eastAsia" w:ascii="仿宋_GB2312" w:hAnsi="仿宋_GB2312" w:eastAsia="仿宋_GB2312" w:cs="仿宋_GB2312"/>
              </w:rPr>
            </w:pPr>
            <w:r>
              <w:rPr>
                <w:rFonts w:hint="eastAsia" w:ascii="仿宋_GB2312" w:hAnsi="仿宋_GB2312" w:eastAsia="仿宋_GB2312" w:cs="仿宋_GB2312"/>
              </w:rPr>
              <w:t>罚款.违法违</w:t>
            </w:r>
          </w:p>
          <w:p w14:paraId="5E229D19">
            <w:pPr>
              <w:jc w:val="both"/>
              <w:rPr>
                <w:rFonts w:hint="eastAsia" w:ascii="仿宋_GB2312" w:hAnsi="仿宋_GB2312" w:eastAsia="仿宋_GB2312" w:cs="仿宋_GB2312"/>
              </w:rPr>
            </w:pPr>
            <w:r>
              <w:rPr>
                <w:rFonts w:hint="eastAsia" w:ascii="仿宋_GB2312" w:hAnsi="仿宋_GB2312" w:eastAsia="仿宋_GB2312" w:cs="仿宋_GB2312"/>
              </w:rPr>
              <w:t>规信息纳入全国信用信息共享平台和投资项目审批监管</w:t>
            </w:r>
          </w:p>
          <w:p w14:paraId="4CE59878">
            <w:pPr>
              <w:jc w:val="both"/>
              <w:rPr>
                <w:rFonts w:hint="eastAsia" w:ascii="仿宋_GB2312" w:hAnsi="仿宋_GB2312" w:eastAsia="仿宋_GB2312" w:cs="仿宋_GB2312"/>
              </w:rPr>
            </w:pPr>
            <w:r>
              <w:rPr>
                <w:rFonts w:hint="eastAsia" w:ascii="仿宋_GB2312" w:hAnsi="仿宋_GB2312" w:eastAsia="仿宋_GB2312" w:cs="仿宋_GB2312"/>
              </w:rPr>
              <w:t>平台，在“信用中国”网站向</w:t>
            </w:r>
          </w:p>
          <w:p w14:paraId="05EAA16E">
            <w:pPr>
              <w:jc w:val="both"/>
              <w:rPr>
                <w:rFonts w:hint="eastAsia" w:ascii="仿宋_GB2312" w:hAnsi="仿宋_GB2312" w:eastAsia="仿宋_GB2312" w:cs="仿宋_GB2312"/>
              </w:rPr>
            </w:pPr>
            <w:r>
              <w:rPr>
                <w:rFonts w:hint="eastAsia" w:ascii="仿宋_GB2312" w:hAnsi="仿宋_GB2312" w:eastAsia="仿宋_GB2312" w:cs="仿宋_GB2312"/>
              </w:rPr>
              <w:t>社会公开.</w:t>
            </w:r>
          </w:p>
        </w:tc>
        <w:tc>
          <w:tcPr>
            <w:tcW w:w="7300" w:type="dxa"/>
            <w:noWrap w:val="0"/>
            <w:vAlign w:val="center"/>
          </w:tcPr>
          <w:p w14:paraId="40E6DB75">
            <w:pPr>
              <w:jc w:val="both"/>
              <w:rPr>
                <w:rFonts w:hint="eastAsia" w:ascii="仿宋_GB2312" w:hAnsi="仿宋_GB2312" w:eastAsia="仿宋_GB2312" w:cs="仿宋_GB2312"/>
              </w:rPr>
            </w:pPr>
            <w:r>
              <w:rPr>
                <w:rFonts w:hint="eastAsia" w:ascii="仿宋_GB2312" w:hAnsi="仿宋_GB2312" w:eastAsia="仿宋_GB2312" w:cs="仿宋_GB2312"/>
              </w:rPr>
              <w:t>【法律】《中华人民共和国节约能源法》第七十六条 从事节能咨询、设计、评估、检测、审计、认证等服务的机构提供虚假信息的，由管理节能工作的部门责令改正，没收违法所得，并处五万元以上十万元以下罚款。</w:t>
            </w:r>
          </w:p>
        </w:tc>
        <w:tc>
          <w:tcPr>
            <w:tcW w:w="1220" w:type="dxa"/>
            <w:noWrap w:val="0"/>
            <w:vAlign w:val="center"/>
          </w:tcPr>
          <w:p w14:paraId="5376B162">
            <w:pPr>
              <w:jc w:val="both"/>
              <w:rPr>
                <w:rFonts w:hint="eastAsia" w:ascii="仿宋_GB2312" w:hAnsi="仿宋_GB2312" w:eastAsia="仿宋_GB2312" w:cs="仿宋_GB2312"/>
              </w:rPr>
            </w:pPr>
            <w:r>
              <w:rPr>
                <w:rFonts w:hint="eastAsia" w:ascii="仿宋_GB2312" w:hAnsi="仿宋_GB2312" w:eastAsia="仿宋_GB2312" w:cs="仿宋_GB2312"/>
                <w:lang w:eastAsia="zh-CN"/>
              </w:rPr>
              <w:t>市发展改革委</w:t>
            </w:r>
            <w:r>
              <w:rPr>
                <w:rFonts w:hint="eastAsia" w:ascii="仿宋_GB2312" w:hAnsi="仿宋_GB2312" w:eastAsia="仿宋_GB2312" w:cs="仿宋_GB2312"/>
              </w:rPr>
              <w:t>.县级管</w:t>
            </w:r>
          </w:p>
          <w:p w14:paraId="731E9116">
            <w:pPr>
              <w:jc w:val="both"/>
              <w:rPr>
                <w:rFonts w:hint="eastAsia" w:ascii="仿宋_GB2312" w:hAnsi="仿宋_GB2312" w:eastAsia="仿宋_GB2312" w:cs="仿宋_GB2312"/>
              </w:rPr>
            </w:pPr>
            <w:r>
              <w:rPr>
                <w:rFonts w:hint="eastAsia" w:ascii="仿宋_GB2312" w:hAnsi="仿宋_GB2312" w:eastAsia="仿宋_GB2312" w:cs="仿宋_GB2312"/>
              </w:rPr>
              <w:t>理节能工作的部门</w:t>
            </w:r>
          </w:p>
        </w:tc>
      </w:tr>
    </w:tbl>
    <w:p w14:paraId="73E374F8"/>
    <w:sectPr>
      <w:headerReference r:id="rId6" w:type="default"/>
      <w:footerReference r:id="rId7" w:type="default"/>
      <w:pgSz w:w="16840" w:h="11900"/>
      <w:pgMar w:top="480" w:right="740" w:bottom="480" w:left="740" w:header="0" w:footer="480" w:gutter="0"/>
      <w:cols w:space="1701"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1996C">
    <w:pPr>
      <w:spacing w:line="300" w:lineRule="exact"/>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66CA1">
    <w:pPr>
      <w:spacing w:line="320" w:lineRule="exact"/>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70B25">
    <w:pPr>
      <w:spacing w:line="320" w:lineRule="exact"/>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0FAC5">
    <w:pPr>
      <w:spacing w:line="320" w:lineRule="exact"/>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8C24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cumentProtection w:enforcement="0"/>
  <w:defaultTabStop w:val="500"/>
  <w:characterSpacingControl w:val="doNotCompress"/>
  <w:compat>
    <w:useFELayout/>
    <w:splitPgBreakAndParaMark/>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DD49E7"/>
    <w:rsid w:val="6ABB2A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82"/>
    <w:qFormat/>
    <w:uiPriority w:val="0"/>
    <w:pPr>
      <w:widowControl w:val="0"/>
      <w:jc w:val="both"/>
    </w:pPr>
    <w:rPr>
      <w:rFonts w:hint="default" w:ascii="Calibri" w:hAnsi="Calibri" w:eastAsia="宋体" w:cs="Times New Roman"/>
      <w:sz w:val="21"/>
      <w:szCs w:val="22"/>
    </w:rPr>
  </w:style>
  <w:style w:type="paragraph" w:styleId="2">
    <w:name w:val="heading 1"/>
    <w:basedOn w:val="1"/>
    <w:next w:val="1"/>
    <w:link w:val="34"/>
    <w:qFormat/>
    <w:uiPriority w:val="9"/>
    <w:pPr>
      <w:keepNext/>
      <w:keepLines/>
      <w:spacing w:before="480" w:after="200"/>
      <w:outlineLvl w:val="0"/>
    </w:pPr>
    <w:rPr>
      <w:rFonts w:ascii="等线" w:hAnsi="等线" w:eastAsia="等线" w:cs="等线"/>
      <w:sz w:val="40"/>
      <w:szCs w:val="40"/>
    </w:rPr>
  </w:style>
  <w:style w:type="paragraph" w:styleId="3">
    <w:name w:val="heading 2"/>
    <w:basedOn w:val="1"/>
    <w:next w:val="1"/>
    <w:link w:val="35"/>
    <w:unhideWhenUsed/>
    <w:qFormat/>
    <w:uiPriority w:val="9"/>
    <w:pPr>
      <w:keepNext/>
      <w:keepLines/>
      <w:spacing w:before="360" w:after="200"/>
      <w:outlineLvl w:val="1"/>
    </w:pPr>
    <w:rPr>
      <w:rFonts w:ascii="等线" w:hAnsi="等线" w:eastAsia="等线" w:cs="等线"/>
      <w:sz w:val="34"/>
    </w:rPr>
  </w:style>
  <w:style w:type="paragraph" w:styleId="4">
    <w:name w:val="heading 3"/>
    <w:basedOn w:val="1"/>
    <w:next w:val="1"/>
    <w:link w:val="36"/>
    <w:unhideWhenUsed/>
    <w:qFormat/>
    <w:uiPriority w:val="9"/>
    <w:pPr>
      <w:keepNext/>
      <w:keepLines/>
      <w:spacing w:before="320" w:after="200"/>
      <w:outlineLvl w:val="2"/>
    </w:pPr>
    <w:rPr>
      <w:rFonts w:ascii="等线" w:hAnsi="等线" w:eastAsia="等线" w:cs="等线"/>
      <w:sz w:val="30"/>
      <w:szCs w:val="30"/>
    </w:rPr>
  </w:style>
  <w:style w:type="paragraph" w:styleId="5">
    <w:name w:val="heading 4"/>
    <w:basedOn w:val="1"/>
    <w:next w:val="1"/>
    <w:link w:val="37"/>
    <w:unhideWhenUsed/>
    <w:qFormat/>
    <w:uiPriority w:val="9"/>
    <w:pPr>
      <w:keepNext/>
      <w:keepLines/>
      <w:spacing w:before="320" w:after="200"/>
      <w:outlineLvl w:val="3"/>
    </w:pPr>
    <w:rPr>
      <w:rFonts w:ascii="等线" w:hAnsi="等线" w:eastAsia="等线" w:cs="等线"/>
      <w:b/>
      <w:bCs/>
      <w:sz w:val="26"/>
      <w:szCs w:val="26"/>
    </w:rPr>
  </w:style>
  <w:style w:type="paragraph" w:styleId="6">
    <w:name w:val="heading 5"/>
    <w:basedOn w:val="1"/>
    <w:next w:val="1"/>
    <w:link w:val="38"/>
    <w:unhideWhenUsed/>
    <w:qFormat/>
    <w:uiPriority w:val="9"/>
    <w:pPr>
      <w:keepNext/>
      <w:keepLines/>
      <w:spacing w:before="320" w:after="200"/>
      <w:outlineLvl w:val="4"/>
    </w:pPr>
    <w:rPr>
      <w:rFonts w:ascii="等线" w:hAnsi="等线" w:eastAsia="等线" w:cs="等线"/>
      <w:b/>
      <w:bCs/>
      <w:sz w:val="24"/>
      <w:szCs w:val="24"/>
    </w:rPr>
  </w:style>
  <w:style w:type="paragraph" w:styleId="7">
    <w:name w:val="heading 6"/>
    <w:basedOn w:val="1"/>
    <w:next w:val="1"/>
    <w:link w:val="39"/>
    <w:unhideWhenUsed/>
    <w:qFormat/>
    <w:uiPriority w:val="9"/>
    <w:pPr>
      <w:keepNext/>
      <w:keepLines/>
      <w:spacing w:before="320" w:after="200"/>
      <w:outlineLvl w:val="5"/>
    </w:pPr>
    <w:rPr>
      <w:rFonts w:ascii="等线" w:hAnsi="等线" w:eastAsia="等线" w:cs="等线"/>
      <w:b/>
      <w:bCs/>
      <w:sz w:val="22"/>
      <w:szCs w:val="22"/>
    </w:rPr>
  </w:style>
  <w:style w:type="paragraph" w:styleId="8">
    <w:name w:val="heading 7"/>
    <w:basedOn w:val="1"/>
    <w:next w:val="1"/>
    <w:link w:val="40"/>
    <w:unhideWhenUsed/>
    <w:qFormat/>
    <w:uiPriority w:val="9"/>
    <w:pPr>
      <w:keepNext/>
      <w:keepLines/>
      <w:spacing w:before="320" w:after="200"/>
      <w:outlineLvl w:val="6"/>
    </w:pPr>
    <w:rPr>
      <w:rFonts w:ascii="等线" w:hAnsi="等线" w:eastAsia="等线" w:cs="等线"/>
      <w:b/>
      <w:bCs/>
      <w:i/>
      <w:iCs/>
      <w:sz w:val="22"/>
      <w:szCs w:val="22"/>
    </w:rPr>
  </w:style>
  <w:style w:type="paragraph" w:styleId="9">
    <w:name w:val="heading 8"/>
    <w:basedOn w:val="1"/>
    <w:next w:val="1"/>
    <w:link w:val="41"/>
    <w:unhideWhenUsed/>
    <w:qFormat/>
    <w:uiPriority w:val="9"/>
    <w:pPr>
      <w:keepNext/>
      <w:keepLines/>
      <w:spacing w:before="320" w:after="200"/>
      <w:outlineLvl w:val="7"/>
    </w:pPr>
    <w:rPr>
      <w:rFonts w:ascii="等线" w:hAnsi="等线" w:eastAsia="等线" w:cs="等线"/>
      <w:i/>
      <w:iCs/>
      <w:sz w:val="22"/>
      <w:szCs w:val="22"/>
    </w:rPr>
  </w:style>
  <w:style w:type="paragraph" w:styleId="10">
    <w:name w:val="heading 9"/>
    <w:basedOn w:val="1"/>
    <w:next w:val="1"/>
    <w:link w:val="42"/>
    <w:unhideWhenUsed/>
    <w:qFormat/>
    <w:uiPriority w:val="9"/>
    <w:pPr>
      <w:keepNext/>
      <w:keepLines/>
      <w:spacing w:before="320" w:after="200"/>
      <w:outlineLvl w:val="8"/>
    </w:pPr>
    <w:rPr>
      <w:rFonts w:ascii="等线" w:hAnsi="等线" w:eastAsia="等线" w:cs="等线"/>
      <w:i/>
      <w:iCs/>
      <w:sz w:val="21"/>
      <w:szCs w:val="21"/>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styleId="11">
    <w:name w:val="toc 7"/>
    <w:basedOn w:val="1"/>
    <w:next w:val="1"/>
    <w:unhideWhenUsed/>
    <w:qFormat/>
    <w:uiPriority w:val="39"/>
    <w:pPr>
      <w:spacing w:after="57"/>
      <w:ind w:left="1701" w:right="0" w:firstLine="0"/>
    </w:pPr>
  </w:style>
  <w:style w:type="paragraph" w:styleId="12">
    <w:name w:val="caption"/>
    <w:basedOn w:val="1"/>
    <w:next w:val="1"/>
    <w:semiHidden/>
    <w:unhideWhenUsed/>
    <w:qFormat/>
    <w:uiPriority w:val="35"/>
    <w:pPr>
      <w:spacing w:line="276" w:lineRule="auto"/>
    </w:pPr>
    <w:rPr>
      <w:b/>
      <w:bCs/>
      <w:color w:val="4F81BD" w:themeColor="accent1"/>
      <w:sz w:val="18"/>
      <w:szCs w:val="18"/>
    </w:rPr>
  </w:style>
  <w:style w:type="paragraph" w:styleId="13">
    <w:name w:val="toc 5"/>
    <w:basedOn w:val="1"/>
    <w:next w:val="1"/>
    <w:unhideWhenUsed/>
    <w:qFormat/>
    <w:uiPriority w:val="39"/>
    <w:pPr>
      <w:spacing w:after="57"/>
      <w:ind w:left="1134" w:right="0" w:firstLine="0"/>
    </w:pPr>
  </w:style>
  <w:style w:type="paragraph" w:styleId="14">
    <w:name w:val="toc 3"/>
    <w:basedOn w:val="1"/>
    <w:next w:val="1"/>
    <w:unhideWhenUsed/>
    <w:qFormat/>
    <w:uiPriority w:val="39"/>
    <w:pPr>
      <w:spacing w:after="57"/>
      <w:ind w:left="567" w:right="0" w:firstLine="0"/>
    </w:pPr>
  </w:style>
  <w:style w:type="paragraph" w:styleId="15">
    <w:name w:val="toc 8"/>
    <w:basedOn w:val="1"/>
    <w:next w:val="1"/>
    <w:unhideWhenUsed/>
    <w:qFormat/>
    <w:uiPriority w:val="39"/>
    <w:pPr>
      <w:spacing w:after="57"/>
      <w:ind w:left="1984" w:right="0" w:firstLine="0"/>
    </w:pPr>
  </w:style>
  <w:style w:type="paragraph" w:styleId="16">
    <w:name w:val="endnote text"/>
    <w:basedOn w:val="1"/>
    <w:link w:val="180"/>
    <w:semiHidden/>
    <w:unhideWhenUsed/>
    <w:qFormat/>
    <w:uiPriority w:val="99"/>
    <w:pPr>
      <w:spacing w:after="0" w:line="240" w:lineRule="auto"/>
    </w:pPr>
    <w:rPr>
      <w:sz w:val="20"/>
    </w:rPr>
  </w:style>
  <w:style w:type="paragraph" w:styleId="17">
    <w:name w:val="footer"/>
    <w:basedOn w:val="1"/>
    <w:link w:val="53"/>
    <w:unhideWhenUsed/>
    <w:qFormat/>
    <w:uiPriority w:val="99"/>
    <w:pPr>
      <w:tabs>
        <w:tab w:val="center" w:pos="7143"/>
        <w:tab w:val="right" w:pos="14287"/>
      </w:tabs>
      <w:spacing w:after="0" w:line="240" w:lineRule="auto"/>
    </w:pPr>
  </w:style>
  <w:style w:type="paragraph" w:styleId="18">
    <w:name w:val="header"/>
    <w:basedOn w:val="1"/>
    <w:link w:val="51"/>
    <w:unhideWhenUsed/>
    <w:uiPriority w:val="99"/>
    <w:pPr>
      <w:tabs>
        <w:tab w:val="center" w:pos="7143"/>
        <w:tab w:val="right" w:pos="14287"/>
      </w:tabs>
      <w:spacing w:after="0" w:line="240" w:lineRule="auto"/>
    </w:pPr>
  </w:style>
  <w:style w:type="paragraph" w:styleId="19">
    <w:name w:val="toc 1"/>
    <w:basedOn w:val="1"/>
    <w:next w:val="1"/>
    <w:unhideWhenUsed/>
    <w:uiPriority w:val="39"/>
    <w:pPr>
      <w:spacing w:after="57"/>
      <w:ind w:left="0" w:right="0" w:firstLine="0"/>
    </w:pPr>
  </w:style>
  <w:style w:type="paragraph" w:styleId="20">
    <w:name w:val="toc 4"/>
    <w:basedOn w:val="1"/>
    <w:next w:val="1"/>
    <w:unhideWhenUsed/>
    <w:qFormat/>
    <w:uiPriority w:val="39"/>
    <w:pPr>
      <w:spacing w:after="57"/>
      <w:ind w:left="850" w:right="0" w:firstLine="0"/>
    </w:pPr>
  </w:style>
  <w:style w:type="paragraph" w:styleId="21">
    <w:name w:val="Subtitle"/>
    <w:basedOn w:val="1"/>
    <w:next w:val="1"/>
    <w:link w:val="46"/>
    <w:qFormat/>
    <w:uiPriority w:val="11"/>
    <w:pPr>
      <w:spacing w:before="200" w:after="200"/>
    </w:pPr>
    <w:rPr>
      <w:sz w:val="24"/>
      <w:szCs w:val="24"/>
    </w:rPr>
  </w:style>
  <w:style w:type="paragraph" w:styleId="22">
    <w:name w:val="footnote text"/>
    <w:basedOn w:val="1"/>
    <w:link w:val="179"/>
    <w:semiHidden/>
    <w:unhideWhenUsed/>
    <w:qFormat/>
    <w:uiPriority w:val="99"/>
    <w:pPr>
      <w:spacing w:after="40" w:line="240" w:lineRule="auto"/>
    </w:pPr>
    <w:rPr>
      <w:sz w:val="18"/>
    </w:rPr>
  </w:style>
  <w:style w:type="paragraph" w:styleId="23">
    <w:name w:val="toc 6"/>
    <w:basedOn w:val="1"/>
    <w:next w:val="1"/>
    <w:unhideWhenUsed/>
    <w:qFormat/>
    <w:uiPriority w:val="39"/>
    <w:pPr>
      <w:spacing w:after="57"/>
      <w:ind w:left="1417" w:right="0" w:firstLine="0"/>
    </w:pPr>
  </w:style>
  <w:style w:type="paragraph" w:styleId="24">
    <w:name w:val="table of figures"/>
    <w:basedOn w:val="1"/>
    <w:next w:val="1"/>
    <w:unhideWhenUsed/>
    <w:qFormat/>
    <w:uiPriority w:val="99"/>
    <w:pPr>
      <w:spacing w:after="0" w:afterAutospacing="0"/>
    </w:pPr>
  </w:style>
  <w:style w:type="paragraph" w:styleId="25">
    <w:name w:val="toc 2"/>
    <w:basedOn w:val="1"/>
    <w:next w:val="1"/>
    <w:unhideWhenUsed/>
    <w:qFormat/>
    <w:uiPriority w:val="39"/>
    <w:pPr>
      <w:spacing w:after="57"/>
      <w:ind w:left="283" w:right="0" w:firstLine="0"/>
    </w:pPr>
  </w:style>
  <w:style w:type="paragraph" w:styleId="26">
    <w:name w:val="toc 9"/>
    <w:basedOn w:val="1"/>
    <w:next w:val="1"/>
    <w:unhideWhenUsed/>
    <w:qFormat/>
    <w:uiPriority w:val="39"/>
    <w:pPr>
      <w:spacing w:after="57"/>
      <w:ind w:left="2268" w:right="0" w:firstLine="0"/>
    </w:pPr>
  </w:style>
  <w:style w:type="paragraph" w:styleId="27">
    <w:name w:val="Title"/>
    <w:basedOn w:val="1"/>
    <w:next w:val="1"/>
    <w:link w:val="45"/>
    <w:qFormat/>
    <w:uiPriority w:val="10"/>
    <w:pPr>
      <w:spacing w:before="300" w:after="200"/>
      <w:contextualSpacing/>
    </w:pPr>
    <w:rPr>
      <w:sz w:val="48"/>
      <w:szCs w:val="48"/>
    </w:rPr>
  </w:style>
  <w:style w:type="table" w:styleId="29">
    <w:name w:val="Table Grid"/>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styleId="31">
    <w:name w:val="endnote reference"/>
    <w:semiHidden/>
    <w:unhideWhenUsed/>
    <w:qFormat/>
    <w:uiPriority w:val="99"/>
    <w:rPr>
      <w:vertAlign w:val="superscript"/>
    </w:rPr>
  </w:style>
  <w:style w:type="character" w:styleId="32">
    <w:name w:val="Hyperlink"/>
    <w:unhideWhenUsed/>
    <w:qFormat/>
    <w:uiPriority w:val="99"/>
    <w:rPr>
      <w:color w:val="0000FF" w:themeColor="hyperlink"/>
      <w:u w:val="single"/>
    </w:rPr>
  </w:style>
  <w:style w:type="character" w:styleId="33">
    <w:name w:val="footnote reference"/>
    <w:unhideWhenUsed/>
    <w:qFormat/>
    <w:uiPriority w:val="99"/>
    <w:rPr>
      <w:vertAlign w:val="superscript"/>
    </w:rPr>
  </w:style>
  <w:style w:type="character" w:customStyle="1" w:styleId="34">
    <w:name w:val="Heading 1 Char"/>
    <w:link w:val="2"/>
    <w:uiPriority w:val="9"/>
    <w:rPr>
      <w:rFonts w:ascii="等线" w:hAnsi="等线" w:eastAsia="等线" w:cs="等线"/>
      <w:sz w:val="40"/>
      <w:szCs w:val="40"/>
    </w:rPr>
  </w:style>
  <w:style w:type="character" w:customStyle="1" w:styleId="35">
    <w:name w:val="Heading 2 Char"/>
    <w:link w:val="3"/>
    <w:uiPriority w:val="9"/>
    <w:rPr>
      <w:rFonts w:ascii="等线" w:hAnsi="等线" w:eastAsia="等线" w:cs="等线"/>
      <w:sz w:val="34"/>
    </w:rPr>
  </w:style>
  <w:style w:type="character" w:customStyle="1" w:styleId="36">
    <w:name w:val="Heading 3 Char"/>
    <w:link w:val="4"/>
    <w:uiPriority w:val="9"/>
    <w:rPr>
      <w:rFonts w:ascii="等线" w:hAnsi="等线" w:eastAsia="等线" w:cs="等线"/>
      <w:sz w:val="30"/>
      <w:szCs w:val="30"/>
    </w:rPr>
  </w:style>
  <w:style w:type="character" w:customStyle="1" w:styleId="37">
    <w:name w:val="Heading 4 Char"/>
    <w:link w:val="5"/>
    <w:uiPriority w:val="9"/>
    <w:rPr>
      <w:rFonts w:ascii="等线" w:hAnsi="等线" w:eastAsia="等线" w:cs="等线"/>
      <w:b/>
      <w:bCs/>
      <w:sz w:val="26"/>
      <w:szCs w:val="26"/>
    </w:rPr>
  </w:style>
  <w:style w:type="character" w:customStyle="1" w:styleId="38">
    <w:name w:val="Heading 5 Char"/>
    <w:link w:val="6"/>
    <w:uiPriority w:val="9"/>
    <w:rPr>
      <w:rFonts w:ascii="等线" w:hAnsi="等线" w:eastAsia="等线" w:cs="等线"/>
      <w:b/>
      <w:bCs/>
      <w:sz w:val="24"/>
      <w:szCs w:val="24"/>
    </w:rPr>
  </w:style>
  <w:style w:type="character" w:customStyle="1" w:styleId="39">
    <w:name w:val="Heading 6 Char"/>
    <w:link w:val="7"/>
    <w:uiPriority w:val="9"/>
    <w:rPr>
      <w:rFonts w:ascii="等线" w:hAnsi="等线" w:eastAsia="等线" w:cs="等线"/>
      <w:b/>
      <w:bCs/>
      <w:sz w:val="22"/>
      <w:szCs w:val="22"/>
    </w:rPr>
  </w:style>
  <w:style w:type="character" w:customStyle="1" w:styleId="40">
    <w:name w:val="Heading 7 Char"/>
    <w:link w:val="8"/>
    <w:uiPriority w:val="9"/>
    <w:rPr>
      <w:rFonts w:ascii="等线" w:hAnsi="等线" w:eastAsia="等线" w:cs="等线"/>
      <w:b/>
      <w:bCs/>
      <w:i/>
      <w:iCs/>
      <w:sz w:val="22"/>
      <w:szCs w:val="22"/>
    </w:rPr>
  </w:style>
  <w:style w:type="character" w:customStyle="1" w:styleId="41">
    <w:name w:val="Heading 8 Char"/>
    <w:link w:val="9"/>
    <w:uiPriority w:val="9"/>
    <w:rPr>
      <w:rFonts w:ascii="等线" w:hAnsi="等线" w:eastAsia="等线" w:cs="等线"/>
      <w:i/>
      <w:iCs/>
      <w:sz w:val="22"/>
      <w:szCs w:val="22"/>
    </w:rPr>
  </w:style>
  <w:style w:type="character" w:customStyle="1" w:styleId="42">
    <w:name w:val="Heading 9 Char"/>
    <w:link w:val="10"/>
    <w:uiPriority w:val="9"/>
    <w:rPr>
      <w:rFonts w:ascii="等线" w:hAnsi="等线" w:eastAsia="等线" w:cs="等线"/>
      <w:i/>
      <w:iCs/>
      <w:sz w:val="21"/>
      <w:szCs w:val="21"/>
    </w:rPr>
  </w:style>
  <w:style w:type="paragraph" w:styleId="43">
    <w:name w:val="List Paragraph"/>
    <w:basedOn w:val="1"/>
    <w:qFormat/>
    <w:uiPriority w:val="34"/>
    <w:pPr>
      <w:ind w:left="720"/>
      <w:contextualSpacing/>
    </w:pPr>
  </w:style>
  <w:style w:type="paragraph" w:styleId="44">
    <w:name w:val="No Spacing"/>
    <w:qFormat/>
    <w:uiPriority w:val="1"/>
    <w:pPr>
      <w:spacing w:before="0" w:after="0" w:line="240" w:lineRule="auto"/>
    </w:pPr>
    <w:rPr>
      <w:rFonts w:hint="default" w:ascii="Calibri" w:hAnsi="Calibri" w:eastAsia="宋体" w:cs="Times New Roman"/>
    </w:rPr>
  </w:style>
  <w:style w:type="character" w:customStyle="1" w:styleId="45">
    <w:name w:val="Title Char"/>
    <w:link w:val="27"/>
    <w:uiPriority w:val="10"/>
    <w:rPr>
      <w:sz w:val="48"/>
      <w:szCs w:val="48"/>
    </w:rPr>
  </w:style>
  <w:style w:type="character" w:customStyle="1" w:styleId="46">
    <w:name w:val="Subtitle Char"/>
    <w:link w:val="21"/>
    <w:uiPriority w:val="11"/>
    <w:rPr>
      <w:sz w:val="24"/>
      <w:szCs w:val="24"/>
    </w:rPr>
  </w:style>
  <w:style w:type="paragraph" w:styleId="47">
    <w:name w:val="Quote"/>
    <w:basedOn w:val="1"/>
    <w:next w:val="1"/>
    <w:link w:val="48"/>
    <w:qFormat/>
    <w:uiPriority w:val="29"/>
    <w:pPr>
      <w:ind w:left="720" w:right="720"/>
    </w:pPr>
    <w:rPr>
      <w:i/>
    </w:rPr>
  </w:style>
  <w:style w:type="character" w:customStyle="1" w:styleId="48">
    <w:name w:val="Quote Char"/>
    <w:link w:val="47"/>
    <w:uiPriority w:val="29"/>
    <w:rPr>
      <w:i/>
    </w:rPr>
  </w:style>
  <w:style w:type="paragraph" w:styleId="49">
    <w:name w:val="Intense Quote"/>
    <w:basedOn w:val="1"/>
    <w:next w:val="1"/>
    <w:link w:val="50"/>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0">
    <w:name w:val="Intense Quote Char"/>
    <w:link w:val="49"/>
    <w:uiPriority w:val="30"/>
    <w:rPr>
      <w:i/>
    </w:rPr>
  </w:style>
  <w:style w:type="character" w:customStyle="1" w:styleId="51">
    <w:name w:val="Header Char"/>
    <w:link w:val="18"/>
    <w:qFormat/>
    <w:uiPriority w:val="99"/>
  </w:style>
  <w:style w:type="character" w:customStyle="1" w:styleId="52">
    <w:name w:val="Footer Char"/>
    <w:link w:val="17"/>
    <w:uiPriority w:val="99"/>
  </w:style>
  <w:style w:type="character" w:customStyle="1" w:styleId="53">
    <w:name w:val="Caption Char"/>
    <w:link w:val="17"/>
    <w:uiPriority w:val="99"/>
  </w:style>
  <w:style w:type="table" w:customStyle="1" w:styleId="54">
    <w:name w:val="Table Grid Ligh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55">
    <w:name w:val="Plain Table 1"/>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2Vert"/>
    <w:tblStylePr w:type="band1Horz">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6">
    <w:name w:val="Plain Table 2"/>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57">
    <w:name w:val="Plain Table 3"/>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8">
    <w:name w:val="Plain Table 4"/>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9">
    <w:name w:val="Plain Table 5"/>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60">
    <w:name w:val="Grid Table 1 Ligh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StylePr w:type="neCell"/>
    <w:tblStylePr w:type="nwCell"/>
    <w:tblStylePr w:type="seCell"/>
    <w:tblStylePr w:type="swCell"/>
  </w:style>
  <w:style w:type="table" w:customStyle="1" w:styleId="61">
    <w:name w:val="Grid Table 1 Light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62">
    <w:name w:val="Grid Table 1 Light - Accent 2"/>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63">
    <w:name w:val="Grid Table 1 Light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64">
    <w:name w:val="Grid Table 1 Light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65">
    <w:name w:val="Grid Table 1 Light - Accent 5"/>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66">
    <w:name w:val="Grid Table 1 Light - Accent 6"/>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table" w:customStyle="1" w:styleId="67">
    <w:name w:val="Grid Table 2"/>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68">
    <w:name w:val="Grid Table 2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single" w:color="5D8BC2" w:themeColor="accent1" w:themeTint="EA" w:sz="12" w:space="0"/>
          <w:right w:val="nil"/>
        </w:tcBorders>
        <w:shd w:val="clear" w:color="FFFFFF" w:fill="auto"/>
      </w:tcPr>
    </w:tblStylePr>
    <w:tblStylePr w:type="lastRow">
      <w:rPr>
        <w:b/>
        <w:color w:val="404040"/>
      </w:rPr>
      <w:tcPr>
        <w:tcBorders>
          <w:top w:val="single" w:color="5D8BC2"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BE5F1" w:themeColor="accent1" w:themeTint="34" w:fill="DBE5F1" w:themeFill="accent1" w:themeFillTint="34"/>
      </w:tcPr>
    </w:tblStylePr>
    <w:tblStylePr w:type="band2Vert"/>
    <w:tblStylePr w:type="band1Horz">
      <w:rPr>
        <w:rFonts w:ascii="Arial" w:hAnsi="Arial"/>
        <w:color w:val="404040"/>
        <w:sz w:val="22"/>
      </w:rPr>
      <w:tcPr>
        <w:shd w:val="clear" w:color="DBE5F1" w:themeColor="accent1" w:themeTint="34" w:fill="DBE5F1" w:themeFill="accent1" w:themeFillTint="34"/>
      </w:tcPr>
    </w:tblStylePr>
    <w:tblStylePr w:type="band2Horz"/>
    <w:tblStylePr w:type="neCell"/>
    <w:tblStylePr w:type="nwCell"/>
    <w:tblStylePr w:type="seCell"/>
    <w:tblStylePr w:type="swCell"/>
  </w:style>
  <w:style w:type="table" w:customStyle="1" w:styleId="69">
    <w:name w:val="Grid Table 2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single" w:color="D99795" w:themeColor="accent2" w:themeTint="97" w:sz="12" w:space="0"/>
          <w:right w:val="nil"/>
        </w:tcBorders>
        <w:shd w:val="clear" w:color="FFFFFF" w:fill="auto"/>
      </w:tcPr>
    </w:tblStylePr>
    <w:tblStylePr w:type="lastRow">
      <w:rPr>
        <w:b/>
        <w:color w:val="404040"/>
      </w:rPr>
      <w:tcPr>
        <w:tcBorders>
          <w:top w:val="single" w:color="D9979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70">
    <w:name w:val="Grid Table 2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single" w:color="9BBB59" w:themeColor="accent3" w:themeTint="FE" w:sz="12" w:space="0"/>
          <w:right w:val="nil"/>
        </w:tcBorders>
        <w:shd w:val="clear" w:color="FFFFFF" w:fill="auto"/>
      </w:tcPr>
    </w:tblStylePr>
    <w:tblStylePr w:type="lastRow">
      <w:rPr>
        <w:b/>
        <w:color w:val="404040"/>
      </w:rPr>
      <w:tcPr>
        <w:tcBorders>
          <w:top w:val="single" w:color="9BBB59"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71">
    <w:name w:val="Grid Table 2 - Accent 4"/>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single" w:color="B2A1C6" w:themeColor="accent4" w:themeTint="9A" w:sz="12" w:space="0"/>
          <w:right w:val="nil"/>
        </w:tcBorders>
        <w:shd w:val="clear" w:color="FFFFFF" w:fill="auto"/>
      </w:tcPr>
    </w:tblStylePr>
    <w:tblStylePr w:type="lastRow">
      <w:rPr>
        <w:b/>
        <w:color w:val="404040"/>
      </w:rPr>
      <w:tcPr>
        <w:tcBorders>
          <w:top w:val="single" w:color="B2A1C6"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72">
    <w:name w:val="Grid Table 2 - Accent 5"/>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single" w:color="4BACC6" w:themeColor="accent5" w:sz="12" w:space="0"/>
          <w:right w:val="nil"/>
        </w:tcBorders>
        <w:shd w:val="clear" w:color="FFFFFF" w:fill="auto"/>
      </w:tcPr>
    </w:tblStylePr>
    <w:tblStylePr w:type="lastRow">
      <w:rPr>
        <w:b/>
        <w:color w:val="404040"/>
      </w:rPr>
      <w:tcPr>
        <w:tcBorders>
          <w:top w:val="single" w:color="4BACC6"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73">
    <w:name w:val="Grid Table 2 - Accent 6"/>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single" w:color="F79646" w:themeColor="accent6" w:sz="12" w:space="0"/>
          <w:right w:val="nil"/>
        </w:tcBorders>
        <w:shd w:val="clear" w:color="FFFFFF" w:fill="auto"/>
      </w:tcPr>
    </w:tblStylePr>
    <w:tblStylePr w:type="lastRow">
      <w:rPr>
        <w:b/>
        <w:color w:val="404040"/>
      </w:rPr>
      <w:tcPr>
        <w:tcBorders>
          <w:top w:val="single" w:color="F79646"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74">
    <w:name w:val="Grid Table 3"/>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75">
    <w:name w:val="Grid Table 3 - Accent 1"/>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BE5F1" w:themeColor="accent1" w:themeTint="34" w:fill="DBE5F1" w:themeFill="accent1" w:themeFillTint="34"/>
      </w:tcPr>
    </w:tblStylePr>
    <w:tblStylePr w:type="band2Vert"/>
    <w:tblStylePr w:type="band1Horz">
      <w:rPr>
        <w:rFonts w:ascii="Arial" w:hAnsi="Arial"/>
        <w:color w:val="404040"/>
        <w:sz w:val="22"/>
      </w:rPr>
      <w:tcPr>
        <w:shd w:val="clear" w:color="DBE5F1" w:themeColor="accent1" w:themeTint="34" w:fill="DBE5F1" w:themeFill="accent1" w:themeFillTint="34"/>
      </w:tcPr>
    </w:tblStylePr>
    <w:tblStylePr w:type="band2Horz"/>
    <w:tblStylePr w:type="neCell"/>
    <w:tblStylePr w:type="nwCell"/>
    <w:tblStylePr w:type="seCell"/>
    <w:tblStylePr w:type="swCell"/>
  </w:style>
  <w:style w:type="table" w:customStyle="1" w:styleId="76">
    <w:name w:val="Grid Table 3 - Accent 2"/>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77">
    <w:name w:val="Grid Table 3 - Accent 3"/>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78">
    <w:name w:val="Grid Table 3 - Accent 4"/>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79">
    <w:name w:val="Grid Table 3 - Accent 5"/>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80">
    <w:name w:val="Grid Table 3 - Accent 6"/>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81">
    <w:name w:val="Grid Table 4"/>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82">
    <w:name w:val="Grid Table 4 - Accent 1"/>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themeColor="accent1" w:themeTint="32" w:fill="DCE6F2" w:themeFill="accent1" w:themeFillTint="32"/>
      </w:tcPr>
    </w:tblStylePr>
    <w:tblStylePr w:type="band2Vert"/>
    <w:tblStylePr w:type="band1Horz">
      <w:rPr>
        <w:rFonts w:ascii="Arial" w:hAnsi="Arial"/>
        <w:color w:val="404040"/>
        <w:sz w:val="22"/>
      </w:rPr>
      <w:tcPr>
        <w:shd w:val="clear" w:color="DCE6F2" w:themeColor="accent1" w:themeTint="32" w:fill="DCE6F2" w:themeFill="accent1" w:themeFillTint="32"/>
      </w:tcPr>
    </w:tblStylePr>
    <w:tblStylePr w:type="band2Horz"/>
    <w:tblStylePr w:type="neCell"/>
    <w:tblStylePr w:type="nwCell"/>
    <w:tblStylePr w:type="seCell"/>
    <w:tblStylePr w:type="swCell"/>
  </w:style>
  <w:style w:type="table" w:customStyle="1" w:styleId="83">
    <w:name w:val="Grid Table 4 - Accent 2"/>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84">
    <w:name w:val="Grid Table 4 - Accent 3"/>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85">
    <w:name w:val="Grid Table 4 - Accent 4"/>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86">
    <w:name w:val="Grid Table 4 - Accent 5"/>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87">
    <w:name w:val="Grid Table 4 - Accent 6"/>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88">
    <w:name w:val="Grid Table 5 Dark"/>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2Vert"/>
    <w:tblStylePr w:type="band1Horz">
      <w:tcPr>
        <w:shd w:val="clear" w:color="898989" w:themeColor="text1" w:themeTint="75" w:fill="898989" w:themeFill="text1" w:themeFillTint="75"/>
      </w:tcPr>
    </w:tblStylePr>
    <w:tblStylePr w:type="band2Horz"/>
    <w:tblStylePr w:type="neCell"/>
    <w:tblStylePr w:type="nwCell"/>
    <w:tblStylePr w:type="seCell"/>
    <w:tblStylePr w:type="swCell"/>
  </w:style>
  <w:style w:type="table" w:customStyle="1" w:styleId="89">
    <w:name w:val="Grid Table 5 Dark- Accent 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F81BD" w:themeColor="accent1" w:fill="4F81BD" w:themeFill="accent1"/>
      </w:tcPr>
    </w:tblStylePr>
    <w:tblStylePr w:type="lastRow">
      <w:rPr>
        <w:rFonts w:ascii="Arial" w:hAnsi="Arial"/>
        <w:b/>
        <w:color w:val="FFFFFF"/>
        <w:sz w:val="22"/>
      </w:r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cPr>
        <w:shd w:val="clear" w:color="4F81BD" w:themeColor="accent1" w:fill="4F81BD" w:themeFill="accent1"/>
      </w:tcPr>
    </w:tblStylePr>
    <w:tblStylePr w:type="lastCol">
      <w:rPr>
        <w:rFonts w:ascii="Arial" w:hAnsi="Arial"/>
        <w:b/>
        <w:color w:val="FFFFFF"/>
        <w:sz w:val="22"/>
      </w:rPr>
      <w:tcPr>
        <w:shd w:val="clear" w:color="4F81BD" w:themeColor="accent1" w:fill="4F81BD" w:themeFill="accent1"/>
      </w:tcPr>
    </w:tblStylePr>
    <w:tblStylePr w:type="band1Vert">
      <w:tcPr>
        <w:shd w:val="clear" w:color="AEC5E0" w:themeColor="accent1" w:themeTint="75" w:fill="AEC5E0" w:themeFill="accent1" w:themeFillTint="75"/>
      </w:tcPr>
    </w:tblStylePr>
    <w:tblStylePr w:type="band2Vert"/>
    <w:tblStylePr w:type="band1Horz">
      <w:tcPr>
        <w:shd w:val="clear" w:color="AEC5E0" w:themeColor="accent1" w:themeTint="75" w:fill="AEC5E0" w:themeFill="accent1" w:themeFillTint="75"/>
      </w:tcPr>
    </w:tblStylePr>
    <w:tblStylePr w:type="band2Horz"/>
    <w:tblStylePr w:type="neCell"/>
    <w:tblStylePr w:type="nwCell"/>
    <w:tblStylePr w:type="seCell"/>
    <w:tblStylePr w:type="swCell"/>
  </w:style>
  <w:style w:type="table" w:customStyle="1" w:styleId="90">
    <w:name w:val="Grid Table 5 Dark - Accent 2"/>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C0504D" w:themeColor="accent2" w:fill="C0504D" w:themeFill="accent2"/>
      </w:tcPr>
    </w:tblStylePr>
    <w:tblStylePr w:type="lastRow">
      <w:rPr>
        <w:rFonts w:ascii="Arial" w:hAnsi="Arial"/>
        <w:b/>
        <w:color w:val="FFFFFF"/>
        <w:sz w:val="22"/>
      </w:r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cPr>
        <w:shd w:val="clear" w:color="C0504D" w:themeColor="accent2" w:fill="C0504D" w:themeFill="accent2"/>
      </w:tcPr>
    </w:tblStylePr>
    <w:tblStylePr w:type="lastCol">
      <w:rPr>
        <w:rFonts w:ascii="Arial" w:hAnsi="Arial"/>
        <w:b/>
        <w:color w:val="FFFFFF"/>
        <w:sz w:val="22"/>
      </w:rPr>
      <w:tcPr>
        <w:shd w:val="clear" w:color="C0504D" w:themeColor="accent2" w:fill="C0504D" w:themeFill="accent2"/>
      </w:tcPr>
    </w:tblStylePr>
    <w:tblStylePr w:type="band1Vert">
      <w:tcPr>
        <w:shd w:val="clear" w:color="E2AEAD" w:themeColor="accent2" w:themeTint="75" w:fill="E2AEAD" w:themeFill="accent2" w:themeFillTint="75"/>
      </w:tcPr>
    </w:tblStylePr>
    <w:tblStylePr w:type="band2Vert"/>
    <w:tblStylePr w:type="band1Horz">
      <w:tcPr>
        <w:shd w:val="clear" w:color="E2AEAD" w:themeColor="accent2" w:themeTint="75" w:fill="E2AEAD" w:themeFill="accent2" w:themeFillTint="75"/>
      </w:tcPr>
    </w:tblStylePr>
    <w:tblStylePr w:type="band2Horz"/>
    <w:tblStylePr w:type="neCell"/>
    <w:tblStylePr w:type="nwCell"/>
    <w:tblStylePr w:type="seCell"/>
    <w:tblStylePr w:type="swCell"/>
  </w:style>
  <w:style w:type="table" w:customStyle="1" w:styleId="91">
    <w:name w:val="Grid Table 5 Dark - Accent 3"/>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9BBB59" w:themeColor="accent3" w:fill="9BBB59" w:themeFill="accent3"/>
      </w:tcPr>
    </w:tblStylePr>
    <w:tblStylePr w:type="lastRow">
      <w:rPr>
        <w:rFonts w:ascii="Arial" w:hAnsi="Arial"/>
        <w:b/>
        <w:color w:val="FFFFFF"/>
        <w:sz w:val="22"/>
      </w:r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cPr>
        <w:shd w:val="clear" w:color="9BBB59" w:themeColor="accent3" w:fill="9BBB59" w:themeFill="accent3"/>
      </w:tcPr>
    </w:tblStylePr>
    <w:tblStylePr w:type="lastCol">
      <w:rPr>
        <w:rFonts w:ascii="Arial" w:hAnsi="Arial"/>
        <w:b/>
        <w:color w:val="FFFFFF"/>
        <w:sz w:val="22"/>
      </w:rPr>
      <w:tcPr>
        <w:shd w:val="clear" w:color="9BBB59" w:themeColor="accent3" w:fill="9BBB59" w:themeFill="accent3"/>
      </w:tcPr>
    </w:tblStylePr>
    <w:tblStylePr w:type="band1Vert">
      <w:tcPr>
        <w:shd w:val="clear" w:color="D1DFB2" w:themeColor="accent3" w:themeTint="75" w:fill="D1DFB2" w:themeFill="accent3" w:themeFillTint="75"/>
      </w:tcPr>
    </w:tblStylePr>
    <w:tblStylePr w:type="band2Vert"/>
    <w:tblStylePr w:type="band1Horz">
      <w:tcPr>
        <w:shd w:val="clear" w:color="D1DFB2" w:themeColor="accent3" w:themeTint="75" w:fill="D1DFB2" w:themeFill="accent3" w:themeFillTint="75"/>
      </w:tcPr>
    </w:tblStylePr>
    <w:tblStylePr w:type="band2Horz"/>
    <w:tblStylePr w:type="neCell"/>
    <w:tblStylePr w:type="nwCell"/>
    <w:tblStylePr w:type="seCell"/>
    <w:tblStylePr w:type="swCell"/>
  </w:style>
  <w:style w:type="table" w:customStyle="1" w:styleId="92">
    <w:name w:val="Grid Table 5 Dark- Accent 4"/>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8064A2" w:themeColor="accent4" w:fill="8064A2" w:themeFill="accent4"/>
      </w:tcPr>
    </w:tblStylePr>
    <w:tblStylePr w:type="lastRow">
      <w:rPr>
        <w:rFonts w:ascii="Arial" w:hAnsi="Arial"/>
        <w:b/>
        <w:color w:val="FFFFFF"/>
        <w:sz w:val="22"/>
      </w:r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cPr>
        <w:shd w:val="clear" w:color="8064A2" w:themeColor="accent4" w:fill="8064A2" w:themeFill="accent4"/>
      </w:tcPr>
    </w:tblStylePr>
    <w:tblStylePr w:type="lastCol">
      <w:rPr>
        <w:rFonts w:ascii="Arial" w:hAnsi="Arial"/>
        <w:b/>
        <w:color w:val="FFFFFF"/>
        <w:sz w:val="22"/>
      </w:rPr>
      <w:tcPr>
        <w:shd w:val="clear" w:color="8064A2" w:themeColor="accent4" w:fill="8064A2" w:themeFill="accent4"/>
      </w:tcPr>
    </w:tblStylePr>
    <w:tblStylePr w:type="band1Vert">
      <w:tcPr>
        <w:shd w:val="clear" w:color="C4B7D4" w:themeColor="accent4" w:themeTint="75" w:fill="C4B7D4" w:themeFill="accent4" w:themeFillTint="75"/>
      </w:tcPr>
    </w:tblStylePr>
    <w:tblStylePr w:type="band2Vert"/>
    <w:tblStylePr w:type="band1Horz">
      <w:tcPr>
        <w:shd w:val="clear" w:color="C4B7D4" w:themeColor="accent4" w:themeTint="75" w:fill="C4B7D4" w:themeFill="accent4" w:themeFillTint="75"/>
      </w:tcPr>
    </w:tblStylePr>
    <w:tblStylePr w:type="band2Horz"/>
    <w:tblStylePr w:type="neCell"/>
    <w:tblStylePr w:type="nwCell"/>
    <w:tblStylePr w:type="seCell"/>
    <w:tblStylePr w:type="swCell"/>
  </w:style>
  <w:style w:type="table" w:customStyle="1" w:styleId="93">
    <w:name w:val="Grid Table 5 Dark - Accent 5"/>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BACC6" w:themeColor="accent5" w:fill="4BACC6" w:themeFill="accent5"/>
      </w:tcPr>
    </w:tblStylePr>
    <w:tblStylePr w:type="lastRow">
      <w:rPr>
        <w:rFonts w:ascii="Arial" w:hAnsi="Arial"/>
        <w:b/>
        <w:color w:val="FFFFFF"/>
        <w:sz w:val="22"/>
      </w:r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cPr>
        <w:shd w:val="clear" w:color="4BACC6" w:themeColor="accent5" w:fill="4BACC6" w:themeFill="accent5"/>
      </w:tcPr>
    </w:tblStylePr>
    <w:tblStylePr w:type="lastCol">
      <w:rPr>
        <w:rFonts w:ascii="Arial" w:hAnsi="Arial"/>
        <w:b/>
        <w:color w:val="FFFFFF"/>
        <w:sz w:val="22"/>
      </w:rPr>
      <w:tcPr>
        <w:shd w:val="clear" w:color="4BACC6" w:themeColor="accent5" w:fill="4BACC6" w:themeFill="accent5"/>
      </w:tcPr>
    </w:tblStylePr>
    <w:tblStylePr w:type="band1Vert">
      <w:tcPr>
        <w:shd w:val="clear" w:color="ACD8E4" w:themeColor="accent5" w:themeTint="75" w:fill="ACD8E4" w:themeFill="accent5" w:themeFillTint="75"/>
      </w:tcPr>
    </w:tblStylePr>
    <w:tblStylePr w:type="band2Vert"/>
    <w:tblStylePr w:type="band1Horz">
      <w:tcPr>
        <w:shd w:val="clear" w:color="ACD8E4" w:themeColor="accent5" w:themeTint="75" w:fill="ACD8E4" w:themeFill="accent5" w:themeFillTint="75"/>
      </w:tcPr>
    </w:tblStylePr>
    <w:tblStylePr w:type="band2Horz"/>
    <w:tblStylePr w:type="neCell"/>
    <w:tblStylePr w:type="nwCell"/>
    <w:tblStylePr w:type="seCell"/>
    <w:tblStylePr w:type="swCell"/>
  </w:style>
  <w:style w:type="table" w:customStyle="1" w:styleId="94">
    <w:name w:val="Grid Table 5 Dark - Accent 6"/>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79646" w:themeColor="accent6" w:fill="F79646" w:themeFill="accent6"/>
      </w:tcPr>
    </w:tblStylePr>
    <w:tblStylePr w:type="lastRow">
      <w:rPr>
        <w:rFonts w:ascii="Arial" w:hAnsi="Arial"/>
        <w:b/>
        <w:color w:val="FFFFFF"/>
        <w:sz w:val="22"/>
      </w:r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cPr>
        <w:shd w:val="clear" w:color="F79646" w:themeColor="accent6" w:fill="F79646" w:themeFill="accent6"/>
      </w:tcPr>
    </w:tblStylePr>
    <w:tblStylePr w:type="lastCol">
      <w:rPr>
        <w:rFonts w:ascii="Arial" w:hAnsi="Arial"/>
        <w:b/>
        <w:color w:val="FFFFFF"/>
        <w:sz w:val="22"/>
      </w:rPr>
      <w:tcPr>
        <w:shd w:val="clear" w:color="F79646" w:themeColor="accent6" w:fill="F79646" w:themeFill="accent6"/>
      </w:tcPr>
    </w:tblStylePr>
    <w:tblStylePr w:type="band1Vert">
      <w:tcPr>
        <w:shd w:val="clear" w:color="FBCEAA" w:themeColor="accent6" w:themeTint="75" w:fill="FBCEAA" w:themeFill="accent6" w:themeFillTint="75"/>
      </w:tcPr>
    </w:tblStylePr>
    <w:tblStylePr w:type="band2Vert"/>
    <w:tblStylePr w:type="band1Horz">
      <w:tcPr>
        <w:shd w:val="clear" w:color="FBCEAA" w:themeColor="accent6" w:themeTint="75" w:fill="FBCEAA" w:themeFill="accent6" w:themeFillTint="75"/>
      </w:tcPr>
    </w:tblStylePr>
    <w:tblStylePr w:type="band2Horz"/>
    <w:tblStylePr w:type="neCell"/>
    <w:tblStylePr w:type="nwCell"/>
    <w:tblStylePr w:type="seCell"/>
    <w:tblStylePr w:type="swCell"/>
  </w:style>
  <w:style w:type="table" w:customStyle="1" w:styleId="95">
    <w:name w:val="Grid Table 6 Colorful"/>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7E7E7E" w:themeColor="text1" w:themeShade="95" w:themeTint="80"/>
      </w:rPr>
      <w:tcPr>
        <w:tcBorders>
          <w:bottom w:val="single" w:color="7E7E7E" w:themeColor="text1" w:themeTint="80" w:sz="12" w:space="0"/>
        </w:tcBorders>
      </w:tcPr>
    </w:tblStylePr>
    <w:tblStylePr w:type="lastRow">
      <w:rPr>
        <w:b/>
        <w:color w:val="7E7E7E" w:themeColor="text1" w:themeShade="95" w:themeTint="80"/>
      </w:rPr>
    </w:tblStylePr>
    <w:tblStylePr w:type="firstCol">
      <w:rPr>
        <w:b/>
        <w:color w:val="7E7E7E" w:themeColor="text1" w:themeShade="95" w:themeTint="80"/>
      </w:rPr>
    </w:tblStylePr>
    <w:tblStylePr w:type="lastCol">
      <w:rPr>
        <w:b/>
        <w:color w:val="7E7E7E" w:themeColor="text1" w:themeShade="95" w:themeTint="80"/>
      </w:rPr>
    </w:tblStylePr>
    <w:tblStylePr w:type="band1Vert">
      <w:tcPr>
        <w:shd w:val="clear" w:color="CACACA" w:themeColor="text1" w:themeTint="34" w:fill="CACACA" w:themeFill="text1" w:themeFillTint="34"/>
      </w:tcPr>
    </w:tblStylePr>
    <w:tblStylePr w:type="band2Vert"/>
    <w:tblStylePr w:type="band1Horz">
      <w:rPr>
        <w:rFonts w:ascii="Arial" w:hAnsi="Arial"/>
        <w:color w:val="7E7E7E" w:themeColor="text1" w:themeShade="95" w:themeTint="80"/>
        <w:sz w:val="22"/>
      </w:rPr>
      <w:tcPr>
        <w:shd w:val="clear" w:color="CACACA" w:themeColor="text1" w:themeTint="34" w:fill="CACACA" w:themeFill="text1" w:themeFillTint="34"/>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96">
    <w:name w:val="Grid Table 6 Colorful - Accent 1"/>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6BFDD" w:themeColor="accent1" w:themeShade="95" w:themeTint="80"/>
      </w:rPr>
      <w:tcPr>
        <w:tcBorders>
          <w:bottom w:val="single" w:color="A6BFDD" w:themeColor="accent1" w:themeTint="80" w:sz="12" w:space="0"/>
        </w:tcBorders>
      </w:tcPr>
    </w:tblStylePr>
    <w:tblStylePr w:type="lastRow">
      <w:rPr>
        <w:b/>
        <w:color w:val="A6BFDD" w:themeColor="accent1" w:themeShade="95" w:themeTint="80"/>
      </w:rPr>
    </w:tblStylePr>
    <w:tblStylePr w:type="firstCol">
      <w:rPr>
        <w:b/>
        <w:color w:val="A6BFDD" w:themeColor="accent1" w:themeShade="95" w:themeTint="80"/>
      </w:rPr>
    </w:tblStylePr>
    <w:tblStylePr w:type="lastCol">
      <w:rPr>
        <w:b/>
        <w:color w:val="A6BFDD" w:themeColor="accent1" w:themeShade="95" w:themeTint="80"/>
      </w:rPr>
    </w:tblStylePr>
    <w:tblStylePr w:type="band1Vert">
      <w:tcPr>
        <w:shd w:val="clear" w:color="DBE5F1" w:themeColor="accent1" w:themeTint="34" w:fill="DBE5F1" w:themeFill="accent1" w:themeFillTint="34"/>
      </w:tcPr>
    </w:tblStylePr>
    <w:tblStylePr w:type="band2Vert"/>
    <w:tblStylePr w:type="band1Horz">
      <w:rPr>
        <w:rFonts w:ascii="Arial" w:hAnsi="Arial"/>
        <w:color w:val="A6BFDD" w:themeColor="accent1" w:themeShade="95" w:themeTint="80"/>
        <w:sz w:val="22"/>
      </w:rPr>
      <w:tcPr>
        <w:shd w:val="clear" w:color="DBE5F1" w:themeColor="accent1" w:themeTint="34" w:fill="DBE5F1" w:themeFill="accent1" w:themeFillTint="34"/>
      </w:tcPr>
    </w:tblStylePr>
    <w:tblStylePr w:type="band2Horz">
      <w:rPr>
        <w:rFonts w:ascii="Arial" w:hAnsi="Arial"/>
        <w:color w:val="A6BFDD" w:themeColor="accent1" w:themeShade="95" w:themeTint="80"/>
        <w:sz w:val="22"/>
      </w:rPr>
    </w:tblStylePr>
    <w:tblStylePr w:type="neCell"/>
    <w:tblStylePr w:type="nwCell"/>
    <w:tblStylePr w:type="seCell"/>
    <w:tblStylePr w:type="swCell"/>
  </w:style>
  <w:style w:type="table" w:customStyle="1" w:styleId="97">
    <w:name w:val="Grid Table 6 Colorful - Accent 2"/>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99795" w:themeColor="accent2" w:themeShade="95" w:themeTint="97"/>
      </w:rPr>
      <w:tcPr>
        <w:tcBorders>
          <w:bottom w:val="single" w:color="D99795" w:themeColor="accent2" w:themeTint="97" w:sz="12" w:space="0"/>
        </w:tcBorders>
      </w:tcPr>
    </w:tblStylePr>
    <w:tblStylePr w:type="lastRow">
      <w:rPr>
        <w:b/>
        <w:color w:val="D99795" w:themeColor="accent2" w:themeShade="95" w:themeTint="97"/>
      </w:rPr>
    </w:tblStylePr>
    <w:tblStylePr w:type="firstCol">
      <w:rPr>
        <w:b/>
        <w:color w:val="D99795" w:themeColor="accent2" w:themeShade="95" w:themeTint="97"/>
      </w:rPr>
    </w:tblStylePr>
    <w:tblStylePr w:type="lastCol">
      <w:rPr>
        <w:b/>
        <w:color w:val="D99795" w:themeColor="accent2" w:themeShade="95" w:themeTint="97"/>
      </w:rPr>
    </w:tblStylePr>
    <w:tblStylePr w:type="band1Vert">
      <w:tcPr>
        <w:shd w:val="clear" w:color="F2DCDC" w:themeColor="accent2" w:themeTint="32" w:fill="F2DCDC" w:themeFill="accent2" w:themeFillTint="32"/>
      </w:tcPr>
    </w:tblStylePr>
    <w:tblStylePr w:type="band2Vert"/>
    <w:tblStylePr w:type="band1Horz">
      <w:rPr>
        <w:rFonts w:ascii="Arial" w:hAnsi="Arial"/>
        <w:color w:val="D99795" w:themeColor="accent2" w:themeShade="95" w:themeTint="97"/>
        <w:sz w:val="22"/>
      </w:rPr>
      <w:tcPr>
        <w:shd w:val="clear" w:color="F2DCDC" w:themeColor="accent2" w:themeTint="32" w:fill="F2DCDC" w:themeFill="accent2" w:themeFillTint="32"/>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98">
    <w:name w:val="Grid Table 6 Colorful - Accent 3"/>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Shade="95" w:themeTint="FE"/>
      </w:rPr>
      <w:tcPr>
        <w:tcBorders>
          <w:bottom w:val="single" w:color="9BBB59" w:themeColor="accent3" w:themeTint="FE" w:sz="12" w:space="0"/>
        </w:tcBorders>
      </w:tcPr>
    </w:tblStylePr>
    <w:tblStylePr w:type="lastRow">
      <w:rPr>
        <w:b/>
        <w:color w:val="9BBB59" w:themeColor="accent3" w:themeShade="95" w:themeTint="FE"/>
      </w:rPr>
    </w:tblStylePr>
    <w:tblStylePr w:type="firstCol">
      <w:rPr>
        <w:b/>
        <w:color w:val="9BBB59" w:themeColor="accent3" w:themeShade="95" w:themeTint="FE"/>
      </w:rPr>
    </w:tblStylePr>
    <w:tblStylePr w:type="lastCol">
      <w:rPr>
        <w:b/>
        <w:color w:val="9BBB59" w:themeColor="accent3" w:themeShade="95" w:themeTint="FE"/>
      </w:rPr>
    </w:tblStylePr>
    <w:tblStylePr w:type="band1Vert">
      <w:tcPr>
        <w:shd w:val="clear" w:color="EAF1DD" w:themeColor="accent3" w:themeTint="34" w:fill="EAF1DD" w:themeFill="accent3" w:themeFillTint="34"/>
      </w:tcPr>
    </w:tblStylePr>
    <w:tblStylePr w:type="band2Vert"/>
    <w:tblStylePr w:type="band1Horz">
      <w:rPr>
        <w:rFonts w:ascii="Arial" w:hAnsi="Arial"/>
        <w:color w:val="9BBB59" w:themeColor="accent3" w:themeShade="95" w:themeTint="FE"/>
        <w:sz w:val="22"/>
      </w:rPr>
      <w:tcPr>
        <w:shd w:val="clear" w:color="EAF1DD" w:themeColor="accent3" w:themeTint="34" w:fill="EAF1DD" w:themeFill="accent3" w:themeFillTint="34"/>
      </w:tcPr>
    </w:tblStylePr>
    <w:tblStylePr w:type="band2Horz">
      <w:rPr>
        <w:rFonts w:ascii="Arial" w:hAnsi="Arial"/>
        <w:color w:val="9BBB59" w:themeColor="accent3" w:themeShade="95" w:themeTint="FE"/>
        <w:sz w:val="22"/>
      </w:rPr>
    </w:tblStylePr>
    <w:tblStylePr w:type="neCell"/>
    <w:tblStylePr w:type="nwCell"/>
    <w:tblStylePr w:type="seCell"/>
    <w:tblStylePr w:type="swCell"/>
  </w:style>
  <w:style w:type="table" w:customStyle="1" w:styleId="99">
    <w:name w:val="Grid Table 6 Colorful - Accent 4"/>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2A1C6" w:themeColor="accent4" w:themeShade="95" w:themeTint="9A"/>
      </w:rPr>
      <w:tcPr>
        <w:tcBorders>
          <w:bottom w:val="single" w:color="B2A1C6" w:themeColor="accent4" w:themeTint="9A" w:sz="12" w:space="0"/>
        </w:tcBorders>
      </w:tcPr>
    </w:tblStylePr>
    <w:tblStylePr w:type="lastRow">
      <w:rPr>
        <w:b/>
        <w:color w:val="B2A1C6" w:themeColor="accent4" w:themeShade="95" w:themeTint="9A"/>
      </w:rPr>
    </w:tblStylePr>
    <w:tblStylePr w:type="firstCol">
      <w:rPr>
        <w:b/>
        <w:color w:val="B2A1C6" w:themeColor="accent4" w:themeShade="95" w:themeTint="9A"/>
      </w:rPr>
    </w:tblStylePr>
    <w:tblStylePr w:type="lastCol">
      <w:rPr>
        <w:b/>
        <w:color w:val="B2A1C6" w:themeColor="accent4" w:themeShade="95" w:themeTint="9A"/>
      </w:rPr>
    </w:tblStylePr>
    <w:tblStylePr w:type="band1Vert">
      <w:tcPr>
        <w:shd w:val="clear" w:color="E5DFEC" w:themeColor="accent4" w:themeTint="34" w:fill="E5DFEC" w:themeFill="accent4" w:themeFillTint="34"/>
      </w:tcPr>
    </w:tblStylePr>
    <w:tblStylePr w:type="band2Vert"/>
    <w:tblStylePr w:type="band1Horz">
      <w:rPr>
        <w:rFonts w:ascii="Arial" w:hAnsi="Arial"/>
        <w:color w:val="B2A1C6" w:themeColor="accent4" w:themeShade="95" w:themeTint="9A"/>
        <w:sz w:val="22"/>
      </w:rPr>
      <w:tcPr>
        <w:shd w:val="clear" w:color="E5DFEC" w:themeColor="accent4" w:themeTint="34" w:fill="E5DFEC" w:themeFill="accent4" w:themeFillTint="34"/>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00">
    <w:name w:val="Grid Table 6 Colorful - Accent 5"/>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9" w:themeColor="accent5" w:themeShade="95"/>
      </w:rPr>
      <w:tcPr>
        <w:tcBorders>
          <w:bottom w:val="single" w:color="4BACC6" w:themeColor="accent5"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cPr>
        <w:shd w:val="clear" w:color="DAEEF3" w:themeColor="accent5" w:themeTint="34" w:fill="DAEEF3" w:themeFill="accent5" w:themeFillTint="34"/>
      </w:tcPr>
    </w:tblStylePr>
    <w:tblStylePr w:type="band2Vert"/>
    <w:tblStylePr w:type="band1Horz">
      <w:rPr>
        <w:rFonts w:ascii="Arial" w:hAnsi="Arial"/>
        <w:color w:val="266779" w:themeColor="accent5" w:themeShade="95"/>
        <w:sz w:val="22"/>
      </w:rPr>
      <w:tcPr>
        <w:shd w:val="clear" w:color="DAEEF3" w:themeColor="accent5" w:themeTint="34" w:fill="DAEEF3" w:themeFill="accent5"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1">
    <w:name w:val="Grid Table 6 Colorful - Accent 6"/>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9" w:themeColor="accent5" w:themeShade="95"/>
      </w:rPr>
      <w:tcPr>
        <w:tcBorders>
          <w:bottom w:val="single" w:color="F79646" w:themeColor="accent6"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cPr>
        <w:shd w:val="clear" w:color="FDE9D9" w:themeColor="accent6" w:themeTint="34" w:fill="FDE9D9" w:themeFill="accent6" w:themeFillTint="34"/>
      </w:tcPr>
    </w:tblStylePr>
    <w:tblStylePr w:type="band2Vert"/>
    <w:tblStylePr w:type="band1Horz">
      <w:rPr>
        <w:rFonts w:ascii="Arial" w:hAnsi="Arial"/>
        <w:color w:val="266779" w:themeColor="accent5" w:themeShade="95"/>
        <w:sz w:val="22"/>
      </w:rPr>
      <w:tcPr>
        <w:shd w:val="clear" w:color="FDE9D9" w:themeColor="accent6" w:themeTint="34" w:fill="FDE9D9" w:themeFill="accent6"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2">
    <w:name w:val="Grid Table 7 Colorful"/>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7E7E7E" w:themeColor="text1" w:themeShade="95" w:themeTint="80"/>
        <w:sz w:val="22"/>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7E7E7E" w:themeColor="text1" w:themeShade="95" w:themeTint="80"/>
        <w:sz w:val="22"/>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7E7E7E" w:themeColor="text1" w:themeShade="95" w:themeTint="80"/>
        <w:sz w:val="22"/>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7E7E7E" w:themeColor="text1" w:themeShade="95" w:themeTint="80"/>
        <w:sz w:val="22"/>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2Vert"/>
    <w:tblStylePr w:type="band1Horz">
      <w:rPr>
        <w:rFonts w:ascii="Arial" w:hAnsi="Arial"/>
        <w:color w:val="7E7E7E" w:themeColor="text1" w:themeShade="95" w:themeTint="80"/>
        <w:sz w:val="22"/>
      </w:rPr>
      <w:tcPr>
        <w:shd w:val="clear" w:color="F1F1F1" w:themeColor="text1" w:themeTint="0D" w:fill="F1F1F1" w:themeFill="text1" w:themeFillTint="0D"/>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103">
    <w:name w:val="Grid Table 7 Colorful - Accent 1"/>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6BFDD" w:themeColor="accent1" w:themeShade="95" w:themeTint="80"/>
        <w:sz w:val="22"/>
      </w:r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6BFDD" w:themeColor="accent1" w:themeShade="95" w:themeTint="80"/>
        <w:sz w:val="22"/>
      </w:r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6BFDD" w:themeColor="accent1" w:themeShade="95" w:themeTint="80"/>
        <w:sz w:val="22"/>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6BFDD" w:themeColor="accent1" w:themeShade="95" w:themeTint="80"/>
        <w:sz w:val="22"/>
      </w:rPr>
      <w:tcPr>
        <w:tcBorders>
          <w:top w:val="nil"/>
          <w:left w:val="single" w:color="A6BFDD" w:themeColor="accent1" w:themeTint="80" w:sz="4" w:space="0"/>
          <w:bottom w:val="nil"/>
          <w:right w:val="nil"/>
        </w:tcBorders>
        <w:shd w:val="clear" w:color="FFFFFF" w:fill="auto"/>
      </w:tcPr>
    </w:tblStylePr>
    <w:tblStylePr w:type="band1Vert">
      <w:tcPr>
        <w:shd w:val="clear" w:color="DBE5F1" w:themeColor="accent1" w:themeTint="34" w:fill="DBE5F1" w:themeFill="accent1" w:themeFillTint="34"/>
      </w:tcPr>
    </w:tblStylePr>
    <w:tblStylePr w:type="band2Vert"/>
    <w:tblStylePr w:type="band1Horz">
      <w:rPr>
        <w:rFonts w:ascii="Arial" w:hAnsi="Arial"/>
        <w:color w:val="A6BFDD" w:themeColor="accent1" w:themeShade="95" w:themeTint="80"/>
        <w:sz w:val="22"/>
      </w:rPr>
      <w:tcPr>
        <w:shd w:val="clear" w:color="DBE5F1" w:themeColor="accent1" w:themeTint="34" w:fill="DBE5F1" w:themeFill="accent1" w:themeFillTint="34"/>
      </w:tcPr>
    </w:tblStylePr>
    <w:tblStylePr w:type="band2Horz">
      <w:rPr>
        <w:rFonts w:ascii="Arial" w:hAnsi="Arial"/>
        <w:color w:val="A6BFDD" w:themeColor="accent1" w:themeShade="95" w:themeTint="80"/>
        <w:sz w:val="22"/>
      </w:rPr>
    </w:tblStylePr>
    <w:tblStylePr w:type="neCell"/>
    <w:tblStylePr w:type="nwCell"/>
    <w:tblStylePr w:type="seCell"/>
    <w:tblStylePr w:type="swCell"/>
  </w:style>
  <w:style w:type="table" w:customStyle="1" w:styleId="104">
    <w:name w:val="Grid Table 7 Colorful - Accent 2"/>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99795" w:themeColor="accent2" w:themeShade="95" w:themeTint="97"/>
        <w:sz w:val="22"/>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99795" w:themeColor="accent2" w:themeShade="95" w:themeTint="97"/>
        <w:sz w:val="22"/>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99795" w:themeColor="accent2" w:themeShade="95" w:themeTint="97"/>
        <w:sz w:val="22"/>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99795" w:themeColor="accent2" w:themeShade="95" w:themeTint="97"/>
        <w:sz w:val="22"/>
      </w:rPr>
      <w:tcPr>
        <w:tcBorders>
          <w:top w:val="nil"/>
          <w:left w:val="single" w:color="D99795" w:themeColor="accent2" w:themeTint="97" w:sz="4" w:space="0"/>
          <w:bottom w:val="nil"/>
          <w:right w:val="nil"/>
        </w:tcBorders>
        <w:shd w:val="clear" w:color="FFFFFF" w:fill="auto"/>
      </w:tcPr>
    </w:tblStylePr>
    <w:tblStylePr w:type="band1Vert">
      <w:tcPr>
        <w:shd w:val="clear" w:color="F2DCDC" w:themeColor="accent2" w:themeTint="32" w:fill="F2DCDC" w:themeFill="accent2" w:themeFillTint="32"/>
      </w:tcPr>
    </w:tblStylePr>
    <w:tblStylePr w:type="band2Vert"/>
    <w:tblStylePr w:type="band1Horz">
      <w:rPr>
        <w:rFonts w:ascii="Arial" w:hAnsi="Arial"/>
        <w:color w:val="D99795" w:themeColor="accent2" w:themeShade="95" w:themeTint="97"/>
        <w:sz w:val="22"/>
      </w:rPr>
      <w:tcPr>
        <w:shd w:val="clear" w:color="F2DCDC" w:themeColor="accent2" w:themeTint="32" w:fill="F2DCDC" w:themeFill="accent2" w:themeFillTint="32"/>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05">
    <w:name w:val="Grid Table 7 Colorful - Accent 3"/>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Shade="95" w:themeTint="FE"/>
        <w:sz w:val="22"/>
      </w:r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Shade="95" w:themeTint="FE"/>
        <w:sz w:val="22"/>
      </w:r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Shade="95" w:themeTint="FE"/>
        <w:sz w:val="22"/>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Shade="95" w:themeTint="FE"/>
        <w:sz w:val="22"/>
      </w:rPr>
      <w:tcPr>
        <w:tcBorders>
          <w:top w:val="nil"/>
          <w:left w:val="single" w:color="9BBB59" w:themeColor="accent3" w:themeTint="FE" w:sz="4" w:space="0"/>
          <w:bottom w:val="nil"/>
          <w:right w:val="nil"/>
        </w:tcBorders>
        <w:shd w:val="clear" w:color="FFFFFF" w:fill="auto"/>
      </w:tcPr>
    </w:tblStylePr>
    <w:tblStylePr w:type="band1Vert">
      <w:tcPr>
        <w:shd w:val="clear" w:color="EAF1DD" w:themeColor="accent3" w:themeTint="34" w:fill="EAF1DD" w:themeFill="accent3" w:themeFillTint="34"/>
      </w:tcPr>
    </w:tblStylePr>
    <w:tblStylePr w:type="band2Vert"/>
    <w:tblStylePr w:type="band1Horz">
      <w:rPr>
        <w:rFonts w:ascii="Arial" w:hAnsi="Arial"/>
        <w:color w:val="9BBB59" w:themeColor="accent3" w:themeShade="95" w:themeTint="FE"/>
        <w:sz w:val="22"/>
      </w:rPr>
      <w:tcPr>
        <w:shd w:val="clear" w:color="EAF1DD" w:themeColor="accent3" w:themeTint="34" w:fill="EAF1DD" w:themeFill="accent3" w:themeFillTint="34"/>
      </w:tcPr>
    </w:tblStylePr>
    <w:tblStylePr w:type="band2Horz">
      <w:rPr>
        <w:rFonts w:ascii="Arial" w:hAnsi="Arial"/>
        <w:color w:val="9BBB59" w:themeColor="accent3" w:themeShade="95" w:themeTint="FE"/>
        <w:sz w:val="22"/>
      </w:rPr>
    </w:tblStylePr>
    <w:tblStylePr w:type="neCell"/>
    <w:tblStylePr w:type="nwCell"/>
    <w:tblStylePr w:type="seCell"/>
    <w:tblStylePr w:type="swCell"/>
  </w:style>
  <w:style w:type="table" w:customStyle="1" w:styleId="106">
    <w:name w:val="Grid Table 7 Colorful - Accent 4"/>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2A1C6" w:themeColor="accent4" w:themeShade="95" w:themeTint="9A"/>
        <w:sz w:val="22"/>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2A1C6" w:themeColor="accent4" w:themeShade="95" w:themeTint="9A"/>
        <w:sz w:val="22"/>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2A1C6" w:themeColor="accent4" w:themeShade="95" w:themeTint="9A"/>
        <w:sz w:val="22"/>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2A1C6" w:themeColor="accent4" w:themeShade="95" w:themeTint="9A"/>
        <w:sz w:val="22"/>
      </w:rPr>
      <w:tcPr>
        <w:tcBorders>
          <w:top w:val="nil"/>
          <w:left w:val="single" w:color="B2A1C6" w:themeColor="accent4" w:themeTint="9A" w:sz="4" w:space="0"/>
          <w:bottom w:val="nil"/>
          <w:right w:val="nil"/>
        </w:tcBorders>
        <w:shd w:val="clear" w:color="FFFFFF" w:fill="auto"/>
      </w:tcPr>
    </w:tblStylePr>
    <w:tblStylePr w:type="band1Vert">
      <w:tcPr>
        <w:shd w:val="clear" w:color="E5DFEC" w:themeColor="accent4" w:themeTint="34" w:fill="E5DFEC" w:themeFill="accent4" w:themeFillTint="34"/>
      </w:tcPr>
    </w:tblStylePr>
    <w:tblStylePr w:type="band2Vert"/>
    <w:tblStylePr w:type="band1Horz">
      <w:rPr>
        <w:rFonts w:ascii="Arial" w:hAnsi="Arial"/>
        <w:color w:val="B2A1C6" w:themeColor="accent4" w:themeShade="95" w:themeTint="9A"/>
        <w:sz w:val="22"/>
      </w:rPr>
      <w:tcPr>
        <w:shd w:val="clear" w:color="E5DFEC" w:themeColor="accent4" w:themeTint="34" w:fill="E5DFEC" w:themeFill="accent4" w:themeFillTint="34"/>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07">
    <w:name w:val="Grid Table 7 Colorful - Accent 5"/>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9" w:themeColor="accent5" w:themeShade="95"/>
        <w:sz w:val="22"/>
      </w:r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9" w:themeColor="accent5" w:themeShade="95"/>
        <w:sz w:val="22"/>
      </w:r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9" w:themeColor="accent5" w:themeShade="95"/>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9" w:themeColor="accent5" w:themeShade="95"/>
        <w:sz w:val="22"/>
      </w:rPr>
      <w:tcPr>
        <w:tcBorders>
          <w:top w:val="nil"/>
          <w:left w:val="single" w:color="99D0DE" w:themeColor="accent5" w:themeTint="90" w:sz="4" w:space="0"/>
          <w:bottom w:val="nil"/>
          <w:right w:val="nil"/>
        </w:tcBorders>
        <w:shd w:val="clear" w:color="FFFFFF" w:fill="auto"/>
      </w:tcPr>
    </w:tblStylePr>
    <w:tblStylePr w:type="band1Vert">
      <w:tcPr>
        <w:shd w:val="clear" w:color="DAEEF3" w:themeColor="accent5" w:themeTint="34" w:fill="DAEEF3" w:themeFill="accent5" w:themeFillTint="34"/>
      </w:tcPr>
    </w:tblStylePr>
    <w:tblStylePr w:type="band2Vert"/>
    <w:tblStylePr w:type="band1Horz">
      <w:rPr>
        <w:rFonts w:ascii="Arial" w:hAnsi="Arial"/>
        <w:color w:val="266779" w:themeColor="accent5" w:themeShade="95"/>
        <w:sz w:val="22"/>
      </w:rPr>
      <w:tcPr>
        <w:shd w:val="clear" w:color="DAEEF3" w:themeColor="accent5" w:themeTint="34" w:fill="DAEEF3" w:themeFill="accent5"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8">
    <w:name w:val="Grid Table 7 Colorful - Accent 6"/>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15407" w:themeColor="accent6" w:themeShade="95"/>
        <w:sz w:val="22"/>
      </w:r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15407" w:themeColor="accent6" w:themeShade="95"/>
        <w:sz w:val="22"/>
      </w:r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15407" w:themeColor="accent6" w:themeShade="95"/>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15407" w:themeColor="accent6" w:themeShade="95"/>
        <w:sz w:val="22"/>
      </w:rPr>
      <w:tcPr>
        <w:tcBorders>
          <w:top w:val="nil"/>
          <w:left w:val="single" w:color="FAC396" w:themeColor="accent6" w:themeTint="90" w:sz="4" w:space="0"/>
          <w:bottom w:val="nil"/>
          <w:right w:val="nil"/>
        </w:tcBorders>
        <w:shd w:val="clear" w:color="FFFFFF" w:fill="auto"/>
      </w:tcPr>
    </w:tblStylePr>
    <w:tblStylePr w:type="band1Vert">
      <w:tcPr>
        <w:shd w:val="clear" w:color="FDE9D9" w:themeColor="accent6" w:themeTint="34" w:fill="FDE9D9" w:themeFill="accent6" w:themeFillTint="34"/>
      </w:tcPr>
    </w:tblStylePr>
    <w:tblStylePr w:type="band2Vert"/>
    <w:tblStylePr w:type="band1Horz">
      <w:rPr>
        <w:rFonts w:ascii="Arial" w:hAnsi="Arial"/>
        <w:color w:val="B15407" w:themeColor="accent6" w:themeShade="95"/>
        <w:sz w:val="22"/>
      </w:rPr>
      <w:tcPr>
        <w:shd w:val="clear" w:color="FDE9D9" w:themeColor="accent6" w:themeTint="34" w:fill="FDE9D9" w:themeFill="accent6" w:themeFillTint="34"/>
      </w:tcPr>
    </w:tblStylePr>
    <w:tblStylePr w:type="band2Horz">
      <w:rPr>
        <w:rFonts w:ascii="Arial" w:hAnsi="Arial"/>
        <w:color w:val="B15407" w:themeColor="accent6" w:themeShade="95"/>
        <w:sz w:val="22"/>
      </w:rPr>
    </w:tblStylePr>
    <w:tblStylePr w:type="neCell"/>
    <w:tblStylePr w:type="nwCell"/>
    <w:tblStylePr w:type="seCell"/>
    <w:tblStylePr w:type="swCell"/>
  </w:style>
  <w:style w:type="table" w:customStyle="1" w:styleId="109">
    <w:name w:val="List Table 1 Ligh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2Vert"/>
    <w:tblStylePr w:type="band1Horz">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10">
    <w:name w:val="List Table 1 Light - Accent 1"/>
    <w:uiPriority w:val="99"/>
    <w:pPr>
      <w:spacing w:after="0" w:line="240" w:lineRule="auto"/>
    </w:p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themeColor="accent1" w:themeTint="40" w:fill="D2DFEE" w:themeFill="accent1" w:themeFillTint="40"/>
      </w:tcPr>
    </w:tblStylePr>
    <w:tblStylePr w:type="band2Vert"/>
    <w:tblStylePr w:type="band1Horz">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11">
    <w:name w:val="List Table 1 Light - Accent 2"/>
    <w:uiPriority w:val="99"/>
    <w:pPr>
      <w:spacing w:after="0" w:line="240" w:lineRule="auto"/>
    </w:p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3D2" w:themeColor="accent2" w:themeTint="40" w:fill="EFD3D2" w:themeFill="accent2" w:themeFillTint="40"/>
      </w:tcPr>
    </w:tblStylePr>
    <w:tblStylePr w:type="band2Vert"/>
    <w:tblStylePr w:type="band1Horz">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12">
    <w:name w:val="List Table 1 Light - Accent 3"/>
    <w:uiPriority w:val="99"/>
    <w:pPr>
      <w:spacing w:after="0" w:line="240" w:lineRule="auto"/>
    </w:p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DD5" w:themeColor="accent3" w:themeTint="40" w:fill="E5EDD5" w:themeFill="accent3" w:themeFillTint="40"/>
      </w:tcPr>
    </w:tblStylePr>
    <w:tblStylePr w:type="band2Vert"/>
    <w:tblStylePr w:type="band1Horz">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13">
    <w:name w:val="List Table 1 Light - Accent 4"/>
    <w:uiPriority w:val="99"/>
    <w:pPr>
      <w:spacing w:after="0" w:line="240" w:lineRule="auto"/>
    </w:p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themeColor="accent4" w:themeTint="40" w:fill="DFD8E7" w:themeFill="accent4" w:themeFillTint="40"/>
      </w:tcPr>
    </w:tblStylePr>
    <w:tblStylePr w:type="band2Vert"/>
    <w:tblStylePr w:type="band1Horz">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14">
    <w:name w:val="List Table 1 Light - Accent 5"/>
    <w:uiPriority w:val="99"/>
    <w:pPr>
      <w:spacing w:after="0" w:line="240" w:lineRule="auto"/>
    </w:p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themeColor="accent5" w:themeTint="40" w:fill="D1EAF0" w:themeFill="accent5" w:themeFillTint="40"/>
      </w:tcPr>
    </w:tblStylePr>
    <w:tblStylePr w:type="band2Vert"/>
    <w:tblStylePr w:type="band1Horz">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15">
    <w:name w:val="List Table 1 Light - Accent 6"/>
    <w:uiPriority w:val="99"/>
    <w:pPr>
      <w:spacing w:after="0" w:line="240" w:lineRule="auto"/>
    </w:p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CE4D0" w:themeColor="accent6" w:themeTint="40" w:fill="FCE4D0" w:themeFill="accent6" w:themeFillTint="40"/>
      </w:tcPr>
    </w:tblStylePr>
    <w:tblStylePr w:type="band2Vert"/>
    <w:tblStylePr w:type="band1Horz">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16">
    <w:name w:val="List Table 2"/>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17">
    <w:name w:val="List Table 2 - Accent 1"/>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themeColor="accent1" w:themeTint="40" w:fill="D2DFEE" w:themeFill="accent1" w:themeFillTint="40"/>
      </w:tcPr>
    </w:tblStylePr>
    <w:tblStylePr w:type="band2Vert"/>
    <w:tblStylePr w:type="band1Horz">
      <w:rPr>
        <w:rFonts w:ascii="Arial" w:hAnsi="Arial"/>
        <w:color w:val="404040"/>
        <w:sz w:val="22"/>
      </w:rPr>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18">
    <w:name w:val="List Table 2 - Accent 2"/>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3D2" w:themeColor="accent2" w:themeTint="40" w:fill="EFD3D2" w:themeFill="accent2" w:themeFillTint="40"/>
      </w:tcPr>
    </w:tblStylePr>
    <w:tblStylePr w:type="band2Vert"/>
    <w:tblStylePr w:type="band1Horz">
      <w:rPr>
        <w:rFonts w:ascii="Arial" w:hAnsi="Arial"/>
        <w:color w:val="404040"/>
        <w:sz w:val="22"/>
      </w:rPr>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19">
    <w:name w:val="List Table 2 - Accent 3"/>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DD5" w:themeColor="accent3" w:themeTint="40" w:fill="E5EDD5" w:themeFill="accent3" w:themeFillTint="40"/>
      </w:tcPr>
    </w:tblStylePr>
    <w:tblStylePr w:type="band2Vert"/>
    <w:tblStylePr w:type="band1Horz">
      <w:rPr>
        <w:rFonts w:ascii="Arial" w:hAnsi="Arial"/>
        <w:color w:val="404040"/>
        <w:sz w:val="22"/>
      </w:rPr>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20">
    <w:name w:val="List Table 2 - Accent 4"/>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themeColor="accent4" w:themeTint="40" w:fill="DFD8E7" w:themeFill="accent4" w:themeFillTint="40"/>
      </w:tcPr>
    </w:tblStylePr>
    <w:tblStylePr w:type="band2Vert"/>
    <w:tblStylePr w:type="band1Horz">
      <w:rPr>
        <w:rFonts w:ascii="Arial" w:hAnsi="Arial"/>
        <w:color w:val="404040"/>
        <w:sz w:val="22"/>
      </w:rPr>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21">
    <w:name w:val="List Table 2 - Accent 5"/>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themeColor="accent5" w:themeTint="40" w:fill="D1EAF0" w:themeFill="accent5" w:themeFillTint="40"/>
      </w:tcPr>
    </w:tblStylePr>
    <w:tblStylePr w:type="band2Vert"/>
    <w:tblStylePr w:type="band1Horz">
      <w:rPr>
        <w:rFonts w:ascii="Arial" w:hAnsi="Arial"/>
        <w:color w:val="404040"/>
        <w:sz w:val="22"/>
      </w:rPr>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22">
    <w:name w:val="List Table 2 - Accent 6"/>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CE4D0" w:themeColor="accent6" w:themeTint="40" w:fill="FCE4D0" w:themeFill="accent6" w:themeFillTint="40"/>
      </w:tcPr>
    </w:tblStylePr>
    <w:tblStylePr w:type="band2Vert"/>
    <w:tblStylePr w:type="band1Horz">
      <w:rPr>
        <w:rFonts w:ascii="Arial" w:hAnsi="Arial"/>
        <w:color w:val="404040"/>
        <w:sz w:val="22"/>
      </w:rPr>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23">
    <w:name w:val="List Table 3"/>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24">
    <w:name w:val="List Table 3 - Accent 1"/>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2Vert"/>
    <w:tblStylePr w:type="band1Horz">
      <w:rPr>
        <w:rFonts w:ascii="Arial" w:hAnsi="Arial"/>
        <w:color w:val="404040"/>
        <w:sz w:val="22"/>
      </w:rPr>
      <w:tcPr>
        <w:tcBorders>
          <w:top w:val="single" w:color="4F81BD" w:themeColor="accent1" w:sz="4" w:space="0"/>
          <w:bottom w:val="single" w:color="4F81BD" w:themeColor="accent1" w:sz="4" w:space="0"/>
        </w:tcBorders>
      </w:tcPr>
    </w:tblStylePr>
    <w:tblStylePr w:type="band2Horz"/>
    <w:tblStylePr w:type="neCell"/>
    <w:tblStylePr w:type="nwCell"/>
    <w:tblStylePr w:type="seCell"/>
    <w:tblStylePr w:type="swCell"/>
  </w:style>
  <w:style w:type="table" w:customStyle="1" w:styleId="125">
    <w:name w:val="List Table 3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cPr>
        <w:shd w:val="clear" w:color="D99795" w:themeColor="accent2" w:themeTint="97"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2Vert"/>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tblStylePr w:type="band2Horz"/>
    <w:tblStylePr w:type="neCell"/>
    <w:tblStylePr w:type="nwCell"/>
    <w:tblStylePr w:type="seCell"/>
    <w:tblStylePr w:type="swCell"/>
  </w:style>
  <w:style w:type="table" w:customStyle="1" w:styleId="126">
    <w:name w:val="List Table 3 - Accent 3"/>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cPr>
        <w:shd w:val="clear" w:color="C3D69C" w:themeColor="accent3" w:themeTint="98"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2Vert"/>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tblStylePr w:type="band2Horz"/>
    <w:tblStylePr w:type="neCell"/>
    <w:tblStylePr w:type="nwCell"/>
    <w:tblStylePr w:type="seCell"/>
    <w:tblStylePr w:type="swCell"/>
  </w:style>
  <w:style w:type="table" w:customStyle="1" w:styleId="127">
    <w:name w:val="List Table 3 - Accent 4"/>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2Vert"/>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tblStylePr w:type="band2Horz"/>
    <w:tblStylePr w:type="neCell"/>
    <w:tblStylePr w:type="nwCell"/>
    <w:tblStylePr w:type="seCell"/>
    <w:tblStylePr w:type="swCell"/>
  </w:style>
  <w:style w:type="table" w:customStyle="1" w:styleId="128">
    <w:name w:val="List Table 3 - Accent 5"/>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2Vert"/>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tblStylePr w:type="band2Horz"/>
    <w:tblStylePr w:type="neCell"/>
    <w:tblStylePr w:type="nwCell"/>
    <w:tblStylePr w:type="seCell"/>
    <w:tblStylePr w:type="swCell"/>
  </w:style>
  <w:style w:type="table" w:customStyle="1" w:styleId="129">
    <w:name w:val="List Table 3 - Accent 6"/>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2Vert"/>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tblStylePr w:type="band2Horz"/>
    <w:tblStylePr w:type="neCell"/>
    <w:tblStylePr w:type="nwCell"/>
    <w:tblStylePr w:type="seCell"/>
    <w:tblStylePr w:type="swCell"/>
  </w:style>
  <w:style w:type="table" w:customStyle="1" w:styleId="130">
    <w:name w:val="List Table 4"/>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31">
    <w:name w:val="List Table 4 - Accent 1"/>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themeColor="accent1" w:themeTint="40" w:fill="D2DFEE" w:themeFill="accent1" w:themeFillTint="40"/>
      </w:tcPr>
    </w:tblStylePr>
    <w:tblStylePr w:type="band2Vert"/>
    <w:tblStylePr w:type="band1Horz">
      <w:rPr>
        <w:rFonts w:ascii="Arial" w:hAnsi="Arial"/>
        <w:color w:val="404040"/>
        <w:sz w:val="22"/>
      </w:rPr>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32">
    <w:name w:val="List Table 4 - Accent 2"/>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3D2" w:themeColor="accent2" w:themeTint="40" w:fill="EFD3D2" w:themeFill="accent2" w:themeFillTint="40"/>
      </w:tcPr>
    </w:tblStylePr>
    <w:tblStylePr w:type="band2Vert"/>
    <w:tblStylePr w:type="band1Horz">
      <w:rPr>
        <w:rFonts w:ascii="Arial" w:hAnsi="Arial"/>
        <w:color w:val="404040"/>
        <w:sz w:val="22"/>
      </w:rPr>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33">
    <w:name w:val="List Table 4 - Accent 3"/>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DD5" w:themeColor="accent3" w:themeTint="40" w:fill="E5EDD5" w:themeFill="accent3" w:themeFillTint="40"/>
      </w:tcPr>
    </w:tblStylePr>
    <w:tblStylePr w:type="band2Vert"/>
    <w:tblStylePr w:type="band1Horz">
      <w:rPr>
        <w:rFonts w:ascii="Arial" w:hAnsi="Arial"/>
        <w:color w:val="404040"/>
        <w:sz w:val="22"/>
      </w:rPr>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34">
    <w:name w:val="List Table 4 - Accent 4"/>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themeColor="accent4" w:themeTint="40" w:fill="DFD8E7" w:themeFill="accent4" w:themeFillTint="40"/>
      </w:tcPr>
    </w:tblStylePr>
    <w:tblStylePr w:type="band2Vert"/>
    <w:tblStylePr w:type="band1Horz">
      <w:rPr>
        <w:rFonts w:ascii="Arial" w:hAnsi="Arial"/>
        <w:color w:val="404040"/>
        <w:sz w:val="22"/>
      </w:rPr>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35">
    <w:name w:val="List Table 4 - Accent 5"/>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themeColor="accent5" w:themeTint="40" w:fill="D1EAF0" w:themeFill="accent5" w:themeFillTint="40"/>
      </w:tcPr>
    </w:tblStylePr>
    <w:tblStylePr w:type="band2Vert"/>
    <w:tblStylePr w:type="band1Horz">
      <w:rPr>
        <w:rFonts w:ascii="Arial" w:hAnsi="Arial"/>
        <w:color w:val="404040"/>
        <w:sz w:val="22"/>
      </w:rPr>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36">
    <w:name w:val="List Table 4 - Accent 6"/>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CE4D0" w:themeColor="accent6" w:themeTint="40" w:fill="FCE4D0" w:themeFill="accent6" w:themeFillTint="40"/>
      </w:tcPr>
    </w:tblStylePr>
    <w:tblStylePr w:type="band2Vert"/>
    <w:tblStylePr w:type="band1Horz">
      <w:rPr>
        <w:rFonts w:ascii="Arial" w:hAnsi="Arial"/>
        <w:color w:val="404040"/>
        <w:sz w:val="22"/>
      </w:rPr>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37">
    <w:name w:val="List Table 5 Dark"/>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StylePr w:type="nwCell"/>
    <w:tblStylePr w:type="seCell"/>
    <w:tblStylePr w:type="swCell"/>
  </w:style>
  <w:style w:type="table" w:customStyle="1" w:styleId="138">
    <w:name w:val="List Table 5 Dark - Accent 1"/>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r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4F81BD" w:themeColor="accent1"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F81BD" w:themeColor="accent1" w:fill="4F81BD" w:themeFill="accent1"/>
      </w:tcPr>
    </w:tblStylePr>
    <w:tblStylePr w:type="band2Horz">
      <w:tcPr>
        <w:tcBorders>
          <w:top w:val="single" w:color="FFFFFF" w:themeColor="light1" w:sz="4" w:space="0"/>
          <w:bottom w:val="single" w:color="FFFFFF" w:themeColor="light1" w:sz="4" w:space="0"/>
        </w:tcBorders>
        <w:shd w:val="clear" w:color="4F81BD" w:themeColor="accent1" w:fill="4F81BD" w:themeFill="accent1"/>
      </w:tcPr>
    </w:tblStylePr>
    <w:tblStylePr w:type="neCell"/>
    <w:tblStylePr w:type="nwCell"/>
    <w:tblStylePr w:type="seCell"/>
    <w:tblStylePr w:type="swCell"/>
  </w:style>
  <w:style w:type="table" w:customStyle="1" w:styleId="139">
    <w:name w:val="List Table 5 Dark - Accent 2"/>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r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neCell"/>
    <w:tblStylePr w:type="nwCell"/>
    <w:tblStylePr w:type="seCell"/>
    <w:tblStylePr w:type="swCell"/>
  </w:style>
  <w:style w:type="table" w:customStyle="1" w:styleId="140">
    <w:name w:val="List Table 5 Dark - Accent 3"/>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r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neCell"/>
    <w:tblStylePr w:type="nwCell"/>
    <w:tblStylePr w:type="seCell"/>
    <w:tblStylePr w:type="swCell"/>
  </w:style>
  <w:style w:type="table" w:customStyle="1" w:styleId="141">
    <w:name w:val="List Table 5 Dark - Accent 4"/>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r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neCell"/>
    <w:tblStylePr w:type="nwCell"/>
    <w:tblStylePr w:type="seCell"/>
    <w:tblStylePr w:type="swCell"/>
  </w:style>
  <w:style w:type="table" w:customStyle="1" w:styleId="142">
    <w:name w:val="List Table 5 Dark - Accent 5"/>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r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neCell"/>
    <w:tblStylePr w:type="nwCell"/>
    <w:tblStylePr w:type="seCell"/>
    <w:tblStylePr w:type="swCell"/>
  </w:style>
  <w:style w:type="table" w:customStyle="1" w:styleId="143">
    <w:name w:val="List Table 5 Dark - Accent 6"/>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r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neCell"/>
    <w:tblStylePr w:type="nwCell"/>
    <w:tblStylePr w:type="seCell"/>
    <w:tblStylePr w:type="swCell"/>
  </w:style>
  <w:style w:type="table" w:customStyle="1" w:styleId="144">
    <w:name w:val="List Table 6 Colorful"/>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rPr>
      <w:tcPr>
        <w:tcBorders>
          <w:bottom w:val="single" w:color="7E7E7E" w:themeColor="text1" w:themeTint="80" w:sz="4" w:space="0"/>
        </w:tcBorders>
      </w:tcPr>
    </w:tblStylePr>
    <w:tblStylePr w:type="lastRow">
      <w:rPr>
        <w:b/>
        <w:color w:val="000000" w:themeColor="text1"/>
      </w:rPr>
      <w:tcPr>
        <w:tcBorders>
          <w:top w:val="single" w:color="7E7E7E" w:themeColor="text1" w:themeTint="80" w:sz="4" w:space="0"/>
        </w:tcBorders>
      </w:tcPr>
    </w:tblStylePr>
    <w:tblStylePr w:type="firstCol">
      <w:rPr>
        <w:b/>
        <w:color w:val="000000" w:themeColor="text1"/>
      </w:rPr>
    </w:tblStylePr>
    <w:tblStylePr w:type="lastCol">
      <w:rPr>
        <w:b/>
        <w:color w:val="000000" w:themeColor="text1"/>
      </w:rPr>
    </w:tblStylePr>
    <w:tblStylePr w:type="band1Vert">
      <w:tcPr>
        <w:shd w:val="clear" w:color="BEBEBE" w:themeColor="text1" w:themeTint="40" w:fill="BEBEBE" w:themeFill="text1" w:themeFillTint="40"/>
      </w:tcPr>
    </w:tblStylePr>
    <w:tblStylePr w:type="band2Vert"/>
    <w:tblStylePr w:type="band1Horz">
      <w:rPr>
        <w:rFonts w:ascii="Arial" w:hAnsi="Arial"/>
        <w:color w:val="000000" w:themeColor="text1"/>
        <w:sz w:val="22"/>
      </w:rPr>
      <w:tcPr>
        <w:shd w:val="clear" w:color="BEBEBE" w:themeColor="text1" w:themeTint="40" w:fill="BEBEBE" w:themeFill="text1" w:themeFillTint="40"/>
      </w:tcPr>
    </w:tblStylePr>
    <w:tblStylePr w:type="band2Horz">
      <w:rPr>
        <w:rFonts w:ascii="Arial" w:hAnsi="Arial"/>
        <w:color w:val="000000" w:themeColor="text1"/>
        <w:sz w:val="22"/>
      </w:rPr>
    </w:tblStylePr>
    <w:tblStylePr w:type="neCell"/>
    <w:tblStylePr w:type="nwCell"/>
    <w:tblStylePr w:type="seCell"/>
    <w:tblStylePr w:type="swCell"/>
  </w:style>
  <w:style w:type="table" w:customStyle="1" w:styleId="145">
    <w:name w:val="List Table 6 Colorful - Accent 1"/>
    <w:uiPriority w:val="99"/>
    <w:pPr>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5"/>
      </w:rPr>
      <w:tcPr>
        <w:tcBorders>
          <w:bottom w:val="single" w:color="4F81BD" w:themeColor="accent1" w:sz="4" w:space="0"/>
        </w:tcBorders>
      </w:tcPr>
    </w:tblStylePr>
    <w:tblStylePr w:type="lastRow">
      <w:rPr>
        <w:b/>
        <w:color w:val="2A4B71" w:themeColor="accent1" w:themeShade="95"/>
      </w:rPr>
      <w:tcPr>
        <w:tcBorders>
          <w:top w:val="single" w:color="4F81BD" w:themeColor="accent1" w:sz="4" w:space="0"/>
        </w:tcBorders>
      </w:tcPr>
    </w:tblStylePr>
    <w:tblStylePr w:type="firstCol">
      <w:rPr>
        <w:b/>
        <w:color w:val="2A4B71" w:themeColor="accent1" w:themeShade="95"/>
      </w:rPr>
    </w:tblStylePr>
    <w:tblStylePr w:type="lastCol">
      <w:rPr>
        <w:b/>
        <w:color w:val="2A4B71" w:themeColor="accent1" w:themeShade="95"/>
      </w:rPr>
    </w:tblStylePr>
    <w:tblStylePr w:type="band1Vert">
      <w:tcPr>
        <w:shd w:val="clear" w:color="D2DFEE" w:themeColor="accent1" w:themeTint="40" w:fill="D2DFEE" w:themeFill="accent1" w:themeFillTint="40"/>
      </w:tcPr>
    </w:tblStylePr>
    <w:tblStylePr w:type="band2Vert"/>
    <w:tblStylePr w:type="band1Horz">
      <w:rPr>
        <w:rFonts w:ascii="Arial" w:hAnsi="Arial"/>
        <w:color w:val="2A4B71" w:themeColor="accent1" w:themeShade="95"/>
        <w:sz w:val="22"/>
      </w:rPr>
      <w:tcPr>
        <w:shd w:val="clear" w:color="D2DFEE" w:themeColor="accent1" w:themeTint="40" w:fill="D2DFEE" w:themeFill="accent1" w:themeFillTint="40"/>
      </w:tcPr>
    </w:tblStylePr>
    <w:tblStylePr w:type="band2Horz">
      <w:rPr>
        <w:rFonts w:ascii="Arial" w:hAnsi="Arial"/>
        <w:color w:val="2A4B71" w:themeColor="accent1" w:themeShade="95"/>
        <w:sz w:val="22"/>
      </w:rPr>
    </w:tblStylePr>
    <w:tblStylePr w:type="neCell"/>
    <w:tblStylePr w:type="nwCell"/>
    <w:tblStylePr w:type="seCell"/>
    <w:tblStylePr w:type="swCell"/>
  </w:style>
  <w:style w:type="table" w:customStyle="1" w:styleId="146">
    <w:name w:val="List Table 6 Colorful - Accent 2"/>
    <w:uiPriority w:val="99"/>
    <w:pPr>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99795" w:themeColor="accent2" w:themeShade="95" w:themeTint="97"/>
      </w:rPr>
      <w:tcPr>
        <w:tcBorders>
          <w:bottom w:val="single" w:color="D99795" w:themeColor="accent2" w:themeTint="97" w:sz="4" w:space="0"/>
        </w:tcBorders>
      </w:tcPr>
    </w:tblStylePr>
    <w:tblStylePr w:type="lastRow">
      <w:rPr>
        <w:b/>
        <w:color w:val="D99795" w:themeColor="accent2" w:themeShade="95" w:themeTint="97"/>
      </w:rPr>
      <w:tcPr>
        <w:tcBorders>
          <w:top w:val="single" w:color="D99795" w:themeColor="accent2" w:themeTint="97" w:sz="4" w:space="0"/>
        </w:tcBorders>
      </w:tcPr>
    </w:tblStylePr>
    <w:tblStylePr w:type="firstCol">
      <w:rPr>
        <w:b/>
        <w:color w:val="D99795" w:themeColor="accent2" w:themeShade="95" w:themeTint="97"/>
      </w:rPr>
    </w:tblStylePr>
    <w:tblStylePr w:type="lastCol">
      <w:rPr>
        <w:b/>
        <w:color w:val="D99795" w:themeColor="accent2" w:themeShade="95" w:themeTint="97"/>
      </w:rPr>
    </w:tblStylePr>
    <w:tblStylePr w:type="band1Vert">
      <w:tcPr>
        <w:shd w:val="clear" w:color="EFD3D2" w:themeColor="accent2" w:themeTint="40" w:fill="EFD3D2" w:themeFill="accent2" w:themeFillTint="40"/>
      </w:tcPr>
    </w:tblStylePr>
    <w:tblStylePr w:type="band2Vert"/>
    <w:tblStylePr w:type="band1Horz">
      <w:rPr>
        <w:rFonts w:ascii="Arial" w:hAnsi="Arial"/>
        <w:color w:val="D99795" w:themeColor="accent2" w:themeShade="95" w:themeTint="97"/>
        <w:sz w:val="22"/>
      </w:rPr>
      <w:tcPr>
        <w:shd w:val="clear" w:color="EFD3D2" w:themeColor="accent2" w:themeTint="40" w:fill="EFD3D2" w:themeFill="accent2" w:themeFillTint="40"/>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47">
    <w:name w:val="List Table 6 Colorful - Accent 3"/>
    <w:uiPriority w:val="99"/>
    <w:pPr>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C" w:themeColor="accent3" w:themeShade="95" w:themeTint="98"/>
      </w:rPr>
      <w:tcPr>
        <w:tcBorders>
          <w:bottom w:val="single" w:color="C3D69C" w:themeColor="accent3" w:themeTint="98" w:sz="4" w:space="0"/>
        </w:tcBorders>
      </w:tcPr>
    </w:tblStylePr>
    <w:tblStylePr w:type="lastRow">
      <w:rPr>
        <w:b/>
        <w:color w:val="C3D69C" w:themeColor="accent3" w:themeShade="95" w:themeTint="98"/>
      </w:rPr>
      <w:tcPr>
        <w:tcBorders>
          <w:top w:val="single" w:color="C3D69C" w:themeColor="accent3" w:themeTint="98" w:sz="4" w:space="0"/>
        </w:tcBorders>
      </w:tcPr>
    </w:tblStylePr>
    <w:tblStylePr w:type="firstCol">
      <w:rPr>
        <w:b/>
        <w:color w:val="C3D69C" w:themeColor="accent3" w:themeShade="95" w:themeTint="98"/>
      </w:rPr>
    </w:tblStylePr>
    <w:tblStylePr w:type="lastCol">
      <w:rPr>
        <w:b/>
        <w:color w:val="C3D69C" w:themeColor="accent3" w:themeShade="95" w:themeTint="98"/>
      </w:rPr>
    </w:tblStylePr>
    <w:tblStylePr w:type="band1Vert">
      <w:tcPr>
        <w:shd w:val="clear" w:color="E5EDD5" w:themeColor="accent3" w:themeTint="40" w:fill="E5EDD5" w:themeFill="accent3" w:themeFillTint="40"/>
      </w:tcPr>
    </w:tblStylePr>
    <w:tblStylePr w:type="band2Vert"/>
    <w:tblStylePr w:type="band1Horz">
      <w:rPr>
        <w:rFonts w:ascii="Arial" w:hAnsi="Arial"/>
        <w:color w:val="C3D69C" w:themeColor="accent3" w:themeShade="95" w:themeTint="98"/>
        <w:sz w:val="22"/>
      </w:rPr>
      <w:tcPr>
        <w:shd w:val="clear" w:color="E5EDD5" w:themeColor="accent3" w:themeTint="40" w:fill="E5EDD5" w:themeFill="accent3" w:themeFillTint="40"/>
      </w:tcPr>
    </w:tblStylePr>
    <w:tblStylePr w:type="band2Horz">
      <w:rPr>
        <w:rFonts w:ascii="Arial" w:hAnsi="Arial"/>
        <w:color w:val="C3D69C" w:themeColor="accent3" w:themeShade="95" w:themeTint="98"/>
        <w:sz w:val="22"/>
      </w:rPr>
    </w:tblStylePr>
    <w:tblStylePr w:type="neCell"/>
    <w:tblStylePr w:type="nwCell"/>
    <w:tblStylePr w:type="seCell"/>
    <w:tblStylePr w:type="swCell"/>
  </w:style>
  <w:style w:type="table" w:customStyle="1" w:styleId="148">
    <w:name w:val="List Table 6 Colorful - Accent 4"/>
    <w:uiPriority w:val="99"/>
    <w:pPr>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2A1C6" w:themeColor="accent4" w:themeShade="95" w:themeTint="9A"/>
      </w:rPr>
      <w:tcPr>
        <w:tcBorders>
          <w:bottom w:val="single" w:color="B2A1C6" w:themeColor="accent4" w:themeTint="9A" w:sz="4" w:space="0"/>
        </w:tcBorders>
      </w:tcPr>
    </w:tblStylePr>
    <w:tblStylePr w:type="lastRow">
      <w:rPr>
        <w:b/>
        <w:color w:val="B2A1C6" w:themeColor="accent4" w:themeShade="95" w:themeTint="9A"/>
      </w:rPr>
      <w:tcPr>
        <w:tcBorders>
          <w:top w:val="single" w:color="B2A1C6" w:themeColor="accent4" w:themeTint="9A" w:sz="4" w:space="0"/>
        </w:tcBorders>
      </w:tcPr>
    </w:tblStylePr>
    <w:tblStylePr w:type="firstCol">
      <w:rPr>
        <w:b/>
        <w:color w:val="B2A1C6" w:themeColor="accent4" w:themeShade="95" w:themeTint="9A"/>
      </w:rPr>
    </w:tblStylePr>
    <w:tblStylePr w:type="lastCol">
      <w:rPr>
        <w:b/>
        <w:color w:val="B2A1C6" w:themeColor="accent4" w:themeShade="95" w:themeTint="9A"/>
      </w:rPr>
    </w:tblStylePr>
    <w:tblStylePr w:type="band1Vert">
      <w:tcPr>
        <w:shd w:val="clear" w:color="DFD8E7" w:themeColor="accent4" w:themeTint="40" w:fill="DFD8E7" w:themeFill="accent4" w:themeFillTint="40"/>
      </w:tcPr>
    </w:tblStylePr>
    <w:tblStylePr w:type="band2Vert"/>
    <w:tblStylePr w:type="band1Horz">
      <w:rPr>
        <w:rFonts w:ascii="Arial" w:hAnsi="Arial"/>
        <w:color w:val="B2A1C6" w:themeColor="accent4" w:themeShade="95" w:themeTint="9A"/>
        <w:sz w:val="22"/>
      </w:rPr>
      <w:tcPr>
        <w:shd w:val="clear" w:color="DFD8E7" w:themeColor="accent4" w:themeTint="40" w:fill="DFD8E7" w:themeFill="accent4" w:themeFillTint="40"/>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49">
    <w:name w:val="List Table 6 Colorful - Accent 5"/>
    <w:uiPriority w:val="99"/>
    <w:pPr>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2CCDC" w:themeColor="accent5" w:themeShade="95" w:themeTint="9A"/>
      </w:rPr>
      <w:tcPr>
        <w:tcBorders>
          <w:bottom w:val="single" w:color="92CCDC" w:themeColor="accent5" w:themeTint="9A" w:sz="4" w:space="0"/>
        </w:tcBorders>
      </w:tcPr>
    </w:tblStylePr>
    <w:tblStylePr w:type="lastRow">
      <w:rPr>
        <w:b/>
        <w:color w:val="92CCDC" w:themeColor="accent5" w:themeShade="95" w:themeTint="9A"/>
      </w:rPr>
      <w:tcPr>
        <w:tcBorders>
          <w:top w:val="single" w:color="92CCDC" w:themeColor="accent5" w:themeTint="9A" w:sz="4" w:space="0"/>
        </w:tcBorders>
      </w:tcPr>
    </w:tblStylePr>
    <w:tblStylePr w:type="firstCol">
      <w:rPr>
        <w:b/>
        <w:color w:val="92CCDC" w:themeColor="accent5" w:themeShade="95" w:themeTint="9A"/>
      </w:rPr>
    </w:tblStylePr>
    <w:tblStylePr w:type="lastCol">
      <w:rPr>
        <w:b/>
        <w:color w:val="92CCDC" w:themeColor="accent5" w:themeShade="95" w:themeTint="9A"/>
      </w:rPr>
    </w:tblStylePr>
    <w:tblStylePr w:type="band1Vert">
      <w:tcPr>
        <w:shd w:val="clear" w:color="D1EAF0" w:themeColor="accent5" w:themeTint="40" w:fill="D1EAF0" w:themeFill="accent5" w:themeFillTint="40"/>
      </w:tcPr>
    </w:tblStylePr>
    <w:tblStylePr w:type="band2Vert"/>
    <w:tblStylePr w:type="band1Horz">
      <w:rPr>
        <w:rFonts w:ascii="Arial" w:hAnsi="Arial"/>
        <w:color w:val="92CCDC" w:themeColor="accent5" w:themeShade="95" w:themeTint="9A"/>
        <w:sz w:val="22"/>
      </w:rPr>
      <w:tcPr>
        <w:shd w:val="clear" w:color="D1EAF0" w:themeColor="accent5" w:themeTint="40" w:fill="D1EAF0" w:themeFill="accent5" w:themeFillTint="40"/>
      </w:tcPr>
    </w:tblStylePr>
    <w:tblStylePr w:type="band2Horz">
      <w:rPr>
        <w:rFonts w:ascii="Arial" w:hAnsi="Arial"/>
        <w:color w:val="92CCDC" w:themeColor="accent5" w:themeShade="95" w:themeTint="9A"/>
        <w:sz w:val="22"/>
      </w:rPr>
    </w:tblStylePr>
    <w:tblStylePr w:type="neCell"/>
    <w:tblStylePr w:type="nwCell"/>
    <w:tblStylePr w:type="seCell"/>
    <w:tblStylePr w:type="swCell"/>
  </w:style>
  <w:style w:type="table" w:customStyle="1" w:styleId="150">
    <w:name w:val="List Table 6 Colorful - Accent 6"/>
    <w:uiPriority w:val="99"/>
    <w:pPr>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Shade="95" w:themeTint="98"/>
      </w:rPr>
      <w:tcPr>
        <w:tcBorders>
          <w:bottom w:val="single" w:color="FAC090" w:themeColor="accent6" w:themeTint="98" w:sz="4" w:space="0"/>
        </w:tcBorders>
      </w:tcPr>
    </w:tblStylePr>
    <w:tblStylePr w:type="lastRow">
      <w:rPr>
        <w:b/>
        <w:color w:val="FAC090" w:themeColor="accent6" w:themeShade="95" w:themeTint="98"/>
      </w:rPr>
      <w:tcPr>
        <w:tcBorders>
          <w:top w:val="single" w:color="FAC090" w:themeColor="accent6" w:themeTint="98" w:sz="4" w:space="0"/>
        </w:tcBorders>
      </w:tcPr>
    </w:tblStylePr>
    <w:tblStylePr w:type="firstCol">
      <w:rPr>
        <w:b/>
        <w:color w:val="FAC090" w:themeColor="accent6" w:themeShade="95" w:themeTint="98"/>
      </w:rPr>
    </w:tblStylePr>
    <w:tblStylePr w:type="lastCol">
      <w:rPr>
        <w:b/>
        <w:color w:val="FAC090" w:themeColor="accent6" w:themeShade="95" w:themeTint="98"/>
      </w:rPr>
    </w:tblStylePr>
    <w:tblStylePr w:type="band1Vert">
      <w:tcPr>
        <w:shd w:val="clear" w:color="FCE4D0" w:themeColor="accent6" w:themeTint="40" w:fill="FCE4D0" w:themeFill="accent6" w:themeFillTint="40"/>
      </w:tcPr>
    </w:tblStylePr>
    <w:tblStylePr w:type="band2Vert"/>
    <w:tblStylePr w:type="band1Horz">
      <w:rPr>
        <w:rFonts w:ascii="Arial" w:hAnsi="Arial"/>
        <w:color w:val="FAC090" w:themeColor="accent6" w:themeShade="95" w:themeTint="98"/>
        <w:sz w:val="22"/>
      </w:rPr>
      <w:tcPr>
        <w:shd w:val="clear" w:color="FCE4D0" w:themeColor="accent6" w:themeTint="40" w:fill="FCE4D0" w:themeFill="accent6" w:themeFillTint="40"/>
      </w:tcPr>
    </w:tblStylePr>
    <w:tblStylePr w:type="band2Horz">
      <w:rPr>
        <w:rFonts w:ascii="Arial" w:hAnsi="Arial"/>
        <w:color w:val="FAC090" w:themeColor="accent6" w:themeShade="95" w:themeTint="98"/>
        <w:sz w:val="22"/>
      </w:rPr>
    </w:tblStylePr>
    <w:tblStylePr w:type="neCell"/>
    <w:tblStylePr w:type="nwCell"/>
    <w:tblStylePr w:type="seCell"/>
    <w:tblStylePr w:type="swCell"/>
  </w:style>
  <w:style w:type="table" w:customStyle="1" w:styleId="151">
    <w:name w:val="List Table 7 Colorful"/>
    <w:uiPriority w:val="99"/>
    <w:pPr>
      <w:spacing w:after="0" w:line="240" w:lineRule="auto"/>
    </w:pPr>
    <w:tblPr>
      <w:tblBorders>
        <w:right w:val="single" w:color="7E7E7E" w:themeColor="text1" w:themeTint="80" w:sz="4" w:space="0"/>
      </w:tblBorders>
    </w:tblPr>
    <w:tblStylePr w:type="firstRow">
      <w:rPr>
        <w:rFonts w:ascii="Arial" w:hAnsi="Arial"/>
        <w:i/>
        <w:color w:val="7E7E7E" w:themeColor="text1" w:themeShade="95" w:themeTint="80"/>
        <w:sz w:val="22"/>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7E7E7E" w:themeColor="text1" w:themeShade="95" w:themeTint="80"/>
        <w:sz w:val="22"/>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7E7E7E" w:themeColor="text1" w:themeShade="95" w:themeTint="80"/>
        <w:sz w:val="22"/>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7E7E7E" w:themeColor="text1" w:themeShade="95" w:themeTint="80"/>
        <w:sz w:val="22"/>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2Vert"/>
    <w:tblStylePr w:type="band1Horz">
      <w:rPr>
        <w:rFonts w:ascii="Arial" w:hAnsi="Arial"/>
        <w:color w:val="7E7E7E" w:themeColor="text1" w:themeShade="95" w:themeTint="80"/>
        <w:sz w:val="22"/>
      </w:rPr>
      <w:tcPr>
        <w:shd w:val="clear" w:color="BEBEBE" w:themeColor="text1" w:themeTint="40" w:fill="BEBEBE" w:themeFill="text1" w:themeFillTint="40"/>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152">
    <w:name w:val="List Table 7 Colorful - Accent 1"/>
    <w:uiPriority w:val="99"/>
    <w:pPr>
      <w:spacing w:after="0" w:line="240" w:lineRule="auto"/>
    </w:pPr>
    <w:tblPr>
      <w:tblBorders>
        <w:right w:val="single" w:color="4F81BD" w:themeColor="accent1" w:sz="4" w:space="0"/>
      </w:tblBorders>
    </w:tblPr>
    <w:tblStylePr w:type="firstRow">
      <w:rPr>
        <w:rFonts w:ascii="Arial" w:hAnsi="Arial"/>
        <w:i/>
        <w:color w:val="2A4B71" w:themeColor="accent1" w:themeShade="95"/>
        <w:sz w:val="22"/>
      </w:r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5"/>
        <w:sz w:val="22"/>
      </w:r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5"/>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5"/>
        <w:sz w:val="22"/>
      </w:rPr>
      <w:tcPr>
        <w:tcBorders>
          <w:top w:val="nil"/>
          <w:left w:val="single" w:color="4F81BD" w:themeColor="accent1" w:sz="4" w:space="0"/>
          <w:bottom w:val="nil"/>
          <w:right w:val="nil"/>
        </w:tcBorders>
        <w:shd w:val="clear" w:color="FFFFFF" w:fill="auto"/>
      </w:tcPr>
    </w:tblStylePr>
    <w:tblStylePr w:type="band1Vert">
      <w:tcPr>
        <w:shd w:val="clear" w:color="D2DFEE" w:themeColor="accent1" w:themeTint="40" w:fill="D2DFEE" w:themeFill="accent1" w:themeFillTint="40"/>
      </w:tcPr>
    </w:tblStylePr>
    <w:tblStylePr w:type="band2Vert"/>
    <w:tblStylePr w:type="band1Horz">
      <w:rPr>
        <w:rFonts w:ascii="Arial" w:hAnsi="Arial"/>
        <w:color w:val="2A4B71" w:themeColor="accent1" w:themeShade="95"/>
        <w:sz w:val="22"/>
      </w:rPr>
      <w:tcPr>
        <w:shd w:val="clear" w:color="D2DFEE" w:themeColor="accent1" w:themeTint="40" w:fill="D2DFEE" w:themeFill="accent1" w:themeFillTint="40"/>
      </w:tcPr>
    </w:tblStylePr>
    <w:tblStylePr w:type="band2Horz">
      <w:rPr>
        <w:rFonts w:ascii="Arial" w:hAnsi="Arial"/>
        <w:color w:val="2A4B71" w:themeColor="accent1" w:themeShade="95"/>
        <w:sz w:val="22"/>
      </w:rPr>
    </w:tblStylePr>
    <w:tblStylePr w:type="neCell"/>
    <w:tblStylePr w:type="nwCell"/>
    <w:tblStylePr w:type="seCell"/>
    <w:tblStylePr w:type="swCell"/>
  </w:style>
  <w:style w:type="table" w:customStyle="1" w:styleId="153">
    <w:name w:val="List Table 7 Colorful - Accent 2"/>
    <w:uiPriority w:val="99"/>
    <w:pPr>
      <w:spacing w:after="0" w:line="240" w:lineRule="auto"/>
    </w:pPr>
    <w:tblPr>
      <w:tblBorders>
        <w:right w:val="single" w:color="D99795" w:themeColor="accent2" w:themeTint="97" w:sz="4" w:space="0"/>
      </w:tblBorders>
    </w:tblPr>
    <w:tblStylePr w:type="firstRow">
      <w:rPr>
        <w:rFonts w:ascii="Arial" w:hAnsi="Arial"/>
        <w:i/>
        <w:color w:val="D99795" w:themeColor="accent2" w:themeShade="95" w:themeTint="97"/>
        <w:sz w:val="22"/>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99795" w:themeColor="accent2" w:themeShade="95" w:themeTint="97"/>
        <w:sz w:val="22"/>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99795" w:themeColor="accent2" w:themeShade="95" w:themeTint="97"/>
        <w:sz w:val="22"/>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99795" w:themeColor="accent2" w:themeShade="95" w:themeTint="97"/>
        <w:sz w:val="22"/>
      </w:rPr>
      <w:tcPr>
        <w:tcBorders>
          <w:top w:val="nil"/>
          <w:left w:val="single" w:color="D99795" w:themeColor="accent2" w:themeTint="97" w:sz="4" w:space="0"/>
          <w:bottom w:val="nil"/>
          <w:right w:val="nil"/>
        </w:tcBorders>
        <w:shd w:val="clear" w:color="FFFFFF" w:fill="auto"/>
      </w:tcPr>
    </w:tblStylePr>
    <w:tblStylePr w:type="band1Vert">
      <w:tcPr>
        <w:shd w:val="clear" w:color="EFD3D2" w:themeColor="accent2" w:themeTint="40" w:fill="EFD3D2" w:themeFill="accent2" w:themeFillTint="40"/>
      </w:tcPr>
    </w:tblStylePr>
    <w:tblStylePr w:type="band2Vert"/>
    <w:tblStylePr w:type="band1Horz">
      <w:rPr>
        <w:rFonts w:ascii="Arial" w:hAnsi="Arial"/>
        <w:color w:val="D99795" w:themeColor="accent2" w:themeShade="95" w:themeTint="97"/>
        <w:sz w:val="22"/>
      </w:rPr>
      <w:tcPr>
        <w:shd w:val="clear" w:color="EFD3D2" w:themeColor="accent2" w:themeTint="40" w:fill="EFD3D2" w:themeFill="accent2" w:themeFillTint="40"/>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54">
    <w:name w:val="List Table 7 Colorful - Accent 3"/>
    <w:uiPriority w:val="99"/>
    <w:pPr>
      <w:spacing w:after="0" w:line="240" w:lineRule="auto"/>
    </w:pPr>
    <w:tblPr>
      <w:tblBorders>
        <w:right w:val="single" w:color="C3D69C" w:themeColor="accent3" w:themeTint="98" w:sz="4" w:space="0"/>
      </w:tblBorders>
    </w:tblPr>
    <w:tblStylePr w:type="firstRow">
      <w:rPr>
        <w:rFonts w:ascii="Arial" w:hAnsi="Arial"/>
        <w:i/>
        <w:color w:val="C3D69C" w:themeColor="accent3" w:themeShade="95" w:themeTint="98"/>
        <w:sz w:val="22"/>
      </w:r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C" w:themeColor="accent3" w:themeShade="95" w:themeTint="98"/>
        <w:sz w:val="22"/>
      </w:r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C" w:themeColor="accent3" w:themeShade="95" w:themeTint="98"/>
        <w:sz w:val="22"/>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C" w:themeColor="accent3" w:themeShade="95" w:themeTint="98"/>
        <w:sz w:val="22"/>
      </w:rPr>
      <w:tcPr>
        <w:tcBorders>
          <w:top w:val="nil"/>
          <w:left w:val="single" w:color="C3D69C" w:themeColor="accent3" w:themeTint="98" w:sz="4" w:space="0"/>
          <w:bottom w:val="nil"/>
          <w:right w:val="nil"/>
        </w:tcBorders>
        <w:shd w:val="clear" w:color="FFFFFF" w:fill="auto"/>
      </w:tcPr>
    </w:tblStylePr>
    <w:tblStylePr w:type="band1Vert">
      <w:tcPr>
        <w:shd w:val="clear" w:color="E5EDD5" w:themeColor="accent3" w:themeTint="40" w:fill="E5EDD5" w:themeFill="accent3" w:themeFillTint="40"/>
      </w:tcPr>
    </w:tblStylePr>
    <w:tblStylePr w:type="band2Vert"/>
    <w:tblStylePr w:type="band1Horz">
      <w:rPr>
        <w:rFonts w:ascii="Arial" w:hAnsi="Arial"/>
        <w:color w:val="C3D69C" w:themeColor="accent3" w:themeShade="95" w:themeTint="98"/>
        <w:sz w:val="22"/>
      </w:rPr>
      <w:tcPr>
        <w:shd w:val="clear" w:color="E5EDD5" w:themeColor="accent3" w:themeTint="40" w:fill="E5EDD5" w:themeFill="accent3" w:themeFillTint="40"/>
      </w:tcPr>
    </w:tblStylePr>
    <w:tblStylePr w:type="band2Horz">
      <w:rPr>
        <w:rFonts w:ascii="Arial" w:hAnsi="Arial"/>
        <w:color w:val="C3D69C" w:themeColor="accent3" w:themeShade="95" w:themeTint="98"/>
        <w:sz w:val="22"/>
      </w:rPr>
    </w:tblStylePr>
    <w:tblStylePr w:type="neCell"/>
    <w:tblStylePr w:type="nwCell"/>
    <w:tblStylePr w:type="seCell"/>
    <w:tblStylePr w:type="swCell"/>
  </w:style>
  <w:style w:type="table" w:customStyle="1" w:styleId="155">
    <w:name w:val="List Table 7 Colorful - Accent 4"/>
    <w:uiPriority w:val="99"/>
    <w:pPr>
      <w:spacing w:after="0" w:line="240" w:lineRule="auto"/>
    </w:pPr>
    <w:tblPr>
      <w:tblBorders>
        <w:right w:val="single" w:color="B2A1C6" w:themeColor="accent4" w:themeTint="9A" w:sz="4" w:space="0"/>
      </w:tblBorders>
    </w:tblPr>
    <w:tblStylePr w:type="firstRow">
      <w:rPr>
        <w:rFonts w:ascii="Arial" w:hAnsi="Arial"/>
        <w:i/>
        <w:color w:val="B2A1C6" w:themeColor="accent4" w:themeShade="95" w:themeTint="9A"/>
        <w:sz w:val="22"/>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2A1C6" w:themeColor="accent4" w:themeShade="95" w:themeTint="9A"/>
        <w:sz w:val="22"/>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2A1C6" w:themeColor="accent4" w:themeShade="95" w:themeTint="9A"/>
        <w:sz w:val="22"/>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2A1C6" w:themeColor="accent4" w:themeShade="95" w:themeTint="9A"/>
        <w:sz w:val="22"/>
      </w:rPr>
      <w:tcPr>
        <w:tcBorders>
          <w:top w:val="nil"/>
          <w:left w:val="single" w:color="B2A1C6" w:themeColor="accent4" w:themeTint="9A" w:sz="4" w:space="0"/>
          <w:bottom w:val="nil"/>
          <w:right w:val="nil"/>
        </w:tcBorders>
        <w:shd w:val="clear" w:color="FFFFFF" w:fill="auto"/>
      </w:tcPr>
    </w:tblStylePr>
    <w:tblStylePr w:type="band1Vert">
      <w:tcPr>
        <w:shd w:val="clear" w:color="DFD8E7" w:themeColor="accent4" w:themeTint="40" w:fill="DFD8E7" w:themeFill="accent4" w:themeFillTint="40"/>
      </w:tcPr>
    </w:tblStylePr>
    <w:tblStylePr w:type="band2Vert"/>
    <w:tblStylePr w:type="band1Horz">
      <w:rPr>
        <w:rFonts w:ascii="Arial" w:hAnsi="Arial"/>
        <w:color w:val="B2A1C6" w:themeColor="accent4" w:themeShade="95" w:themeTint="9A"/>
        <w:sz w:val="22"/>
      </w:rPr>
      <w:tcPr>
        <w:shd w:val="clear" w:color="DFD8E7" w:themeColor="accent4" w:themeTint="40" w:fill="DFD8E7" w:themeFill="accent4" w:themeFillTint="40"/>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56">
    <w:name w:val="List Table 7 Colorful - Accent 5"/>
    <w:uiPriority w:val="99"/>
    <w:pPr>
      <w:spacing w:after="0" w:line="240" w:lineRule="auto"/>
    </w:pPr>
    <w:tblPr>
      <w:tblBorders>
        <w:right w:val="single" w:color="92CCDC" w:themeColor="accent5" w:themeTint="9A" w:sz="4" w:space="0"/>
      </w:tblBorders>
    </w:tblPr>
    <w:tblStylePr w:type="firstRow">
      <w:rPr>
        <w:rFonts w:ascii="Arial" w:hAnsi="Arial"/>
        <w:i/>
        <w:color w:val="92CCDC" w:themeColor="accent5" w:themeShade="95" w:themeTint="9A"/>
        <w:sz w:val="22"/>
      </w:r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2CCDC" w:themeColor="accent5" w:themeShade="95" w:themeTint="9A"/>
        <w:sz w:val="22"/>
      </w:r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2CCDC" w:themeColor="accent5" w:themeShade="95" w:themeTint="9A"/>
        <w:sz w:val="22"/>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2CCDC" w:themeColor="accent5" w:themeShade="95" w:themeTint="9A"/>
        <w:sz w:val="22"/>
      </w:rPr>
      <w:tcPr>
        <w:tcBorders>
          <w:top w:val="nil"/>
          <w:left w:val="single" w:color="92CCDC" w:themeColor="accent5" w:themeTint="9A" w:sz="4" w:space="0"/>
          <w:bottom w:val="nil"/>
          <w:right w:val="nil"/>
        </w:tcBorders>
        <w:shd w:val="clear" w:color="FFFFFF" w:fill="auto"/>
      </w:tcPr>
    </w:tblStylePr>
    <w:tblStylePr w:type="band1Vert">
      <w:tcPr>
        <w:shd w:val="clear" w:color="D1EAF0" w:themeColor="accent5" w:themeTint="40" w:fill="D1EAF0" w:themeFill="accent5" w:themeFillTint="40"/>
      </w:tcPr>
    </w:tblStylePr>
    <w:tblStylePr w:type="band2Vert"/>
    <w:tblStylePr w:type="band1Horz">
      <w:rPr>
        <w:rFonts w:ascii="Arial" w:hAnsi="Arial"/>
        <w:color w:val="92CCDC" w:themeColor="accent5" w:themeShade="95" w:themeTint="9A"/>
        <w:sz w:val="22"/>
      </w:rPr>
      <w:tcPr>
        <w:shd w:val="clear" w:color="D1EAF0" w:themeColor="accent5" w:themeTint="40" w:fill="D1EAF0" w:themeFill="accent5" w:themeFillTint="40"/>
      </w:tcPr>
    </w:tblStylePr>
    <w:tblStylePr w:type="band2Horz">
      <w:rPr>
        <w:rFonts w:ascii="Arial" w:hAnsi="Arial"/>
        <w:color w:val="92CCDC" w:themeColor="accent5" w:themeShade="95" w:themeTint="9A"/>
        <w:sz w:val="22"/>
      </w:rPr>
    </w:tblStylePr>
    <w:tblStylePr w:type="neCell"/>
    <w:tblStylePr w:type="nwCell"/>
    <w:tblStylePr w:type="seCell"/>
    <w:tblStylePr w:type="swCell"/>
  </w:style>
  <w:style w:type="table" w:customStyle="1" w:styleId="157">
    <w:name w:val="List Table 7 Colorful - Accent 6"/>
    <w:qFormat/>
    <w:uiPriority w:val="99"/>
    <w:pPr>
      <w:spacing w:after="0" w:line="240" w:lineRule="auto"/>
    </w:pPr>
    <w:tblPr>
      <w:tblBorders>
        <w:right w:val="single" w:color="FAC090" w:themeColor="accent6" w:themeTint="98" w:sz="4" w:space="0"/>
      </w:tblBorders>
    </w:tblPr>
    <w:tblStylePr w:type="firstRow">
      <w:rPr>
        <w:rFonts w:ascii="Arial" w:hAnsi="Arial"/>
        <w:i/>
        <w:color w:val="FAC090" w:themeColor="accent6" w:themeShade="95" w:themeTint="98"/>
        <w:sz w:val="22"/>
      </w:r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Shade="95" w:themeTint="98"/>
        <w:sz w:val="22"/>
      </w:r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Shade="95" w:themeTint="98"/>
        <w:sz w:val="22"/>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Shade="95" w:themeTint="98"/>
        <w:sz w:val="22"/>
      </w:rPr>
      <w:tcPr>
        <w:tcBorders>
          <w:top w:val="nil"/>
          <w:left w:val="single" w:color="FAC090" w:themeColor="accent6" w:themeTint="98" w:sz="4" w:space="0"/>
          <w:bottom w:val="nil"/>
          <w:right w:val="nil"/>
        </w:tcBorders>
        <w:shd w:val="clear" w:color="FFFFFF" w:fill="auto"/>
      </w:tcPr>
    </w:tblStylePr>
    <w:tblStylePr w:type="band1Vert">
      <w:tcPr>
        <w:shd w:val="clear" w:color="FCE4D0" w:themeColor="accent6" w:themeTint="40" w:fill="FCE4D0" w:themeFill="accent6" w:themeFillTint="40"/>
      </w:tcPr>
    </w:tblStylePr>
    <w:tblStylePr w:type="band2Vert"/>
    <w:tblStylePr w:type="band1Horz">
      <w:rPr>
        <w:rFonts w:ascii="Arial" w:hAnsi="Arial"/>
        <w:color w:val="FAC090" w:themeColor="accent6" w:themeShade="95" w:themeTint="98"/>
        <w:sz w:val="22"/>
      </w:rPr>
      <w:tcPr>
        <w:shd w:val="clear" w:color="FCE4D0" w:themeColor="accent6" w:themeTint="40" w:fill="FCE4D0" w:themeFill="accent6" w:themeFillTint="40"/>
      </w:tcPr>
    </w:tblStylePr>
    <w:tblStylePr w:type="band2Horz">
      <w:rPr>
        <w:rFonts w:ascii="Arial" w:hAnsi="Arial"/>
        <w:color w:val="FAC090" w:themeColor="accent6" w:themeShade="95" w:themeTint="98"/>
        <w:sz w:val="22"/>
      </w:rPr>
    </w:tblStylePr>
    <w:tblStylePr w:type="neCell"/>
    <w:tblStylePr w:type="nwCell"/>
    <w:tblStylePr w:type="seCell"/>
    <w:tblStylePr w:type="swCell"/>
  </w:style>
  <w:style w:type="table" w:customStyle="1" w:styleId="158">
    <w:name w:val="Lined - Accen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59">
    <w:name w:val="Lined - Accent 1"/>
    <w:uiPriority w:val="99"/>
    <w:pPr>
      <w:spacing w:after="0" w:line="240" w:lineRule="auto"/>
    </w:pPr>
    <w:rPr>
      <w:color w:val="404040"/>
    </w:r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tblStylePr w:type="neCell"/>
    <w:tblStylePr w:type="nwCell"/>
    <w:tblStylePr w:type="seCell"/>
    <w:tblStylePr w:type="swCell"/>
  </w:style>
  <w:style w:type="table" w:customStyle="1" w:styleId="160">
    <w:name w:val="Lined - Accent 2"/>
    <w:uiPriority w:val="99"/>
    <w:pPr>
      <w:spacing w:after="0" w:line="240" w:lineRule="auto"/>
    </w:pPr>
    <w:rPr>
      <w:color w:val="404040"/>
    </w:r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tblStylePr w:type="neCell"/>
    <w:tblStylePr w:type="nwCell"/>
    <w:tblStylePr w:type="seCell"/>
    <w:tblStylePr w:type="swCell"/>
  </w:style>
  <w:style w:type="table" w:customStyle="1" w:styleId="161">
    <w:name w:val="Lined - Accent 3"/>
    <w:uiPriority w:val="99"/>
    <w:pPr>
      <w:spacing w:after="0" w:line="240" w:lineRule="auto"/>
    </w:pPr>
    <w:rPr>
      <w:color w:val="404040"/>
    </w:r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tblStylePr w:type="neCell"/>
    <w:tblStylePr w:type="nwCell"/>
    <w:tblStylePr w:type="seCell"/>
    <w:tblStylePr w:type="swCell"/>
  </w:style>
  <w:style w:type="table" w:customStyle="1" w:styleId="162">
    <w:name w:val="Lined - Accent 4"/>
    <w:qFormat/>
    <w:uiPriority w:val="99"/>
    <w:pPr>
      <w:spacing w:after="0" w:line="240" w:lineRule="auto"/>
    </w:pPr>
    <w:rPr>
      <w:color w:val="404040"/>
    </w:r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tblStylePr w:type="neCell"/>
    <w:tblStylePr w:type="nwCell"/>
    <w:tblStylePr w:type="seCell"/>
    <w:tblStylePr w:type="swCell"/>
  </w:style>
  <w:style w:type="table" w:customStyle="1" w:styleId="163">
    <w:name w:val="Lined - Accent 5"/>
    <w:qFormat/>
    <w:uiPriority w:val="99"/>
    <w:pPr>
      <w:spacing w:after="0" w:line="240" w:lineRule="auto"/>
    </w:pPr>
    <w:rPr>
      <w:color w:val="404040"/>
    </w:r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tblStylePr w:type="neCell"/>
    <w:tblStylePr w:type="nwCell"/>
    <w:tblStylePr w:type="seCell"/>
    <w:tblStylePr w:type="swCell"/>
  </w:style>
  <w:style w:type="table" w:customStyle="1" w:styleId="164">
    <w:name w:val="Lined - Accent 6"/>
    <w:qFormat/>
    <w:uiPriority w:val="99"/>
    <w:pPr>
      <w:spacing w:after="0" w:line="240" w:lineRule="auto"/>
    </w:pPr>
    <w:rPr>
      <w:color w:val="404040"/>
    </w:r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tblStylePr w:type="neCell"/>
    <w:tblStylePr w:type="nwCell"/>
    <w:tblStylePr w:type="seCell"/>
    <w:tblStylePr w:type="swCell"/>
  </w:style>
  <w:style w:type="table" w:customStyle="1" w:styleId="165">
    <w:name w:val="Bordered &amp; Lined - Accent"/>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66">
    <w:name w:val="Bordered &amp; Lined - Accent 1"/>
    <w:qFormat/>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tblStylePr w:type="neCell"/>
    <w:tblStylePr w:type="nwCell"/>
    <w:tblStylePr w:type="seCell"/>
    <w:tblStylePr w:type="swCell"/>
  </w:style>
  <w:style w:type="table" w:customStyle="1" w:styleId="167">
    <w:name w:val="Bordered &amp; Lined - Accent 2"/>
    <w:qFormat/>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tblStylePr w:type="neCell"/>
    <w:tblStylePr w:type="nwCell"/>
    <w:tblStylePr w:type="seCell"/>
    <w:tblStylePr w:type="swCell"/>
  </w:style>
  <w:style w:type="table" w:customStyle="1" w:styleId="168">
    <w:name w:val="Bordered &amp; Lined - Accent 3"/>
    <w:qFormat/>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tblStylePr w:type="neCell"/>
    <w:tblStylePr w:type="nwCell"/>
    <w:tblStylePr w:type="seCell"/>
    <w:tblStylePr w:type="swCell"/>
  </w:style>
  <w:style w:type="table" w:customStyle="1" w:styleId="169">
    <w:name w:val="Bordered &amp; Lined - Accent 4"/>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tblStylePr w:type="neCell"/>
    <w:tblStylePr w:type="nwCell"/>
    <w:tblStylePr w:type="seCell"/>
    <w:tblStylePr w:type="swCell"/>
  </w:style>
  <w:style w:type="table" w:customStyle="1" w:styleId="170">
    <w:name w:val="Bordered &amp; Lined - Accent 5"/>
    <w:qFormat/>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tblStylePr w:type="neCell"/>
    <w:tblStylePr w:type="nwCell"/>
    <w:tblStylePr w:type="seCell"/>
    <w:tblStylePr w:type="swCell"/>
  </w:style>
  <w:style w:type="table" w:customStyle="1" w:styleId="171">
    <w:name w:val="Bordered &amp; Lined - Accent 6"/>
    <w:qFormat/>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tblStylePr w:type="neCell"/>
    <w:tblStylePr w:type="nwCell"/>
    <w:tblStylePr w:type="seCell"/>
    <w:tblStylePr w:type="swCell"/>
  </w:style>
  <w:style w:type="table" w:customStyle="1" w:styleId="172">
    <w:name w:val="Bordered"/>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Vert"/>
    <w:tblStylePr w:type="band2Vert"/>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StylePr w:type="neCell"/>
    <w:tblStylePr w:type="nwCell"/>
    <w:tblStylePr w:type="seCell"/>
    <w:tblStylePr w:type="swCell"/>
  </w:style>
  <w:style w:type="table" w:customStyle="1" w:styleId="173">
    <w:name w:val="Bordered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174">
    <w:name w:val="Bordered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175">
    <w:name w:val="Bordered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176">
    <w:name w:val="Bordered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177">
    <w:name w:val="Bordered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178">
    <w:name w:val="Bordered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character" w:customStyle="1" w:styleId="179">
    <w:name w:val="Footnote Text Char"/>
    <w:link w:val="22"/>
    <w:qFormat/>
    <w:uiPriority w:val="99"/>
    <w:rPr>
      <w:sz w:val="18"/>
    </w:rPr>
  </w:style>
  <w:style w:type="character" w:customStyle="1" w:styleId="180">
    <w:name w:val="Endnote Text Char"/>
    <w:link w:val="16"/>
    <w:qFormat/>
    <w:uiPriority w:val="99"/>
    <w:rPr>
      <w:sz w:val="20"/>
    </w:rPr>
  </w:style>
  <w:style w:type="paragraph" w:customStyle="1" w:styleId="181">
    <w:name w:val="TOC Heading"/>
    <w:unhideWhenUsed/>
    <w:qFormat/>
    <w:uiPriority w:val="39"/>
    <w:rPr>
      <w:rFonts w:hint="default" w:ascii="Calibri" w:hAnsi="Calibri" w:eastAsia="宋体" w:cs="Times New Roman"/>
    </w:rPr>
  </w:style>
  <w:style w:type="character" w:customStyle="1" w:styleId="182">
    <w:name w:val="默认段落字体1"/>
    <w:link w:val="1"/>
    <w:semiHidden/>
    <w:qFormat/>
    <w:uiPriority w:val="0"/>
  </w:style>
  <w:style w:type="table" w:customStyle="1" w:styleId="183">
    <w:name w:val="普通表格1"/>
    <w:semiHidden/>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184">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2899</Words>
  <Characters>2936</Characters>
  <TotalTime>4</TotalTime>
  <ScaleCrop>false</ScaleCrop>
  <LinksUpToDate>false</LinksUpToDate>
  <CharactersWithSpaces>2950</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2023-08-23T18:54:00Z</dcterms:created>
  <dc:creator>openxm</dc:creator>
  <dc:description>openxml-sdk, CCi Text</dc:description>
  <cp:keywords>CC</cp:keywords>
  <cp:lastModifiedBy>晔大王</cp:lastModifiedBy>
  <dcterms:modified xsi:type="dcterms:W3CDTF">2025-09-17T00:35:33Z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eyJoZGlkIjoiYzRmN2JhMDEyNmNlZDMxNDczMTVmN2Y4OGIzMTA5ZWIiLCJ1c2VySWQiOiI0MTY1Njg5MDcifQ==</vt:lpwstr>
  </property>
  <property fmtid="{D5CDD505-2E9C-101B-9397-08002B2CF9AE}" pid="3" name="KSOProductBuildVer">
    <vt:lpwstr>2052-12.1.0.22529</vt:lpwstr>
  </property>
  <property fmtid="{D5CDD505-2E9C-101B-9397-08002B2CF9AE}" pid="4" name="ICV">
    <vt:lpwstr>322F618DB09E4AC3A411E9B3F3672001_12</vt:lpwstr>
  </property>
</Properties>
</file>